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5974" w:rsidRPr="000D5974" w:rsidRDefault="000D5974" w:rsidP="00B17990">
            <w:pPr>
              <w:spacing w:line="276" w:lineRule="auto"/>
              <w:rPr>
                <w:b/>
                <w:szCs w:val="24"/>
                <w:lang w:val="sq-AL"/>
              </w:rPr>
            </w:pPr>
            <w:bookmarkStart w:id="0" w:name="_GoBack"/>
            <w:bookmarkEnd w:id="0"/>
            <w:r w:rsidRPr="000D5974">
              <w:rPr>
                <w:b/>
                <w:szCs w:val="24"/>
                <w:lang w:val="sq-AL"/>
              </w:rPr>
              <w:t>RAPORTI I VLERËSIMIT TË NDIKIMIT</w:t>
            </w:r>
          </w:p>
        </w:tc>
      </w:tr>
      <w:tr w:rsidR="00C84F64" w:rsidRPr="00325A1F"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CA40EE" w:rsidP="001C26AA">
            <w:pPr>
              <w:spacing w:line="276" w:lineRule="auto"/>
              <w:rPr>
                <w:b/>
                <w:szCs w:val="24"/>
                <w:lang w:val="sq-AL"/>
              </w:rPr>
            </w:pPr>
            <w:r w:rsidRPr="00325A1F">
              <w:rPr>
                <w:szCs w:val="24"/>
                <w:lang w:val="sq-AL"/>
              </w:rPr>
              <w:t>Projekt</w:t>
            </w:r>
            <w:r w:rsidR="001C26AA">
              <w:rPr>
                <w:rStyle w:val="IASOIChar"/>
                <w:rFonts w:ascii="Times New Roman" w:hAnsi="Times New Roman"/>
                <w:b w:val="0"/>
                <w:sz w:val="24"/>
                <w:szCs w:val="24"/>
              </w:rPr>
              <w:t>ligj “P</w:t>
            </w:r>
            <w:r w:rsidR="002462AA">
              <w:rPr>
                <w:rStyle w:val="IASOIChar"/>
                <w:rFonts w:ascii="Times New Roman" w:hAnsi="Times New Roman"/>
                <w:b w:val="0"/>
                <w:sz w:val="24"/>
                <w:szCs w:val="24"/>
              </w:rPr>
              <w:t>ë</w:t>
            </w:r>
            <w:r w:rsidR="001C26AA">
              <w:rPr>
                <w:rStyle w:val="IASOIChar"/>
                <w:rFonts w:ascii="Times New Roman" w:hAnsi="Times New Roman"/>
                <w:b w:val="0"/>
                <w:sz w:val="24"/>
                <w:szCs w:val="24"/>
              </w:rPr>
              <w:t>r regjistrin qendror t</w:t>
            </w:r>
            <w:r w:rsidR="002462AA">
              <w:rPr>
                <w:rStyle w:val="IASOIChar"/>
                <w:rFonts w:ascii="Times New Roman" w:hAnsi="Times New Roman"/>
                <w:b w:val="0"/>
                <w:sz w:val="24"/>
                <w:szCs w:val="24"/>
              </w:rPr>
              <w:t>ë</w:t>
            </w:r>
            <w:r w:rsidR="001C26AA">
              <w:rPr>
                <w:rStyle w:val="IASOIChar"/>
                <w:rFonts w:ascii="Times New Roman" w:hAnsi="Times New Roman"/>
                <w:b w:val="0"/>
                <w:sz w:val="24"/>
                <w:szCs w:val="24"/>
              </w:rPr>
              <w:t xml:space="preserve"> llogarive bankare”</w:t>
            </w:r>
            <w:r w:rsidRPr="00325A1F">
              <w:rPr>
                <w:szCs w:val="24"/>
                <w:lang w:val="sq-AL"/>
              </w:rPr>
              <w:t xml:space="preserve"> </w:t>
            </w:r>
          </w:p>
        </w:tc>
      </w:tr>
      <w:tr w:rsidR="00C84F64" w:rsidRPr="00325A1F"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444DC8" w:rsidP="001C26AA">
            <w:pPr>
              <w:spacing w:line="276" w:lineRule="auto"/>
              <w:rPr>
                <w:szCs w:val="24"/>
                <w:lang w:val="sq-AL"/>
              </w:rPr>
            </w:pPr>
            <w:r>
              <w:rPr>
                <w:szCs w:val="24"/>
                <w:lang w:val="sq-AL"/>
              </w:rPr>
              <w:t xml:space="preserve">Ministria </w:t>
            </w:r>
            <w:r w:rsidR="002A66D3" w:rsidRPr="00325A1F">
              <w:rPr>
                <w:szCs w:val="24"/>
                <w:lang w:val="sq-AL"/>
              </w:rPr>
              <w:t xml:space="preserve"> </w:t>
            </w:r>
            <w:r w:rsidR="001C26AA">
              <w:rPr>
                <w:rStyle w:val="IASOIChar"/>
                <w:rFonts w:ascii="Times New Roman" w:hAnsi="Times New Roman"/>
                <w:b w:val="0"/>
                <w:sz w:val="24"/>
                <w:szCs w:val="24"/>
              </w:rPr>
              <w:t>e Financave dhe Ekonomis</w:t>
            </w:r>
            <w:r w:rsidR="002462AA">
              <w:rPr>
                <w:rStyle w:val="IASOIChar"/>
                <w:rFonts w:ascii="Times New Roman" w:hAnsi="Times New Roman"/>
                <w:b w:val="0"/>
                <w:sz w:val="24"/>
                <w:szCs w:val="24"/>
              </w:rPr>
              <w:t>ë</w:t>
            </w:r>
          </w:p>
        </w:tc>
      </w:tr>
      <w:tr w:rsidR="00C84F64" w:rsidRPr="00325A1F"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B16AC8"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1C26AA">
                  <w:rPr>
                    <w:rStyle w:val="BodyTextChar"/>
                    <w:rFonts w:ascii="Times New Roman" w:hAnsi="Times New Roman"/>
                    <w:sz w:val="24"/>
                    <w:szCs w:val="24"/>
                  </w:rPr>
                  <w:t>Zhvillim</w:t>
                </w:r>
              </w:sdtContent>
            </w:sdt>
          </w:p>
        </w:tc>
      </w:tr>
      <w:tr w:rsidR="00C84F64" w:rsidRPr="00325A1F"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1C26AA" w:rsidP="001C26AA">
            <w:pPr>
              <w:spacing w:line="276" w:lineRule="auto"/>
              <w:jc w:val="both"/>
              <w:rPr>
                <w:szCs w:val="24"/>
                <w:lang w:val="sq-AL"/>
              </w:rPr>
            </w:pPr>
            <w:r>
              <w:rPr>
                <w:szCs w:val="24"/>
                <w:lang w:val="sq-AL"/>
              </w:rPr>
              <w:t>Jo e zbatueshme</w:t>
            </w:r>
          </w:p>
        </w:tc>
      </w:tr>
      <w:tr w:rsidR="00C84F64" w:rsidRPr="00325A1F"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927" w:rsidRDefault="001C26AA"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Jo e zbatueshme</w:t>
            </w:r>
            <w:r w:rsidR="00584C71" w:rsidRPr="00325A1F">
              <w:rPr>
                <w:rStyle w:val="IASOIChar"/>
                <w:rFonts w:ascii="Times New Roman" w:hAnsi="Times New Roman"/>
                <w:b w:val="0"/>
                <w:sz w:val="24"/>
                <w:szCs w:val="24"/>
              </w:rPr>
              <w:t xml:space="preserve">   </w:t>
            </w:r>
          </w:p>
          <w:p w:rsidR="00584C71" w:rsidRPr="00325A1F" w:rsidRDefault="002E753B" w:rsidP="002E753B">
            <w:pPr>
              <w:spacing w:line="276" w:lineRule="auto"/>
              <w:rPr>
                <w:b/>
                <w:szCs w:val="24"/>
                <w:lang w:val="sq-AL"/>
              </w:rPr>
            </w:pPr>
            <w:r>
              <w:rPr>
                <w:szCs w:val="24"/>
              </w:rPr>
              <w:fldChar w:fldCharType="begin">
                <w:ffData>
                  <w:name w:val=""/>
                  <w:enabled/>
                  <w:calcOnExit w:val="0"/>
                  <w:textInput>
                    <w:maxLength w:val="5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584C71" w:rsidRPr="00325A1F">
              <w:rPr>
                <w:rStyle w:val="IASOIChar"/>
                <w:rFonts w:ascii="Times New Roman" w:hAnsi="Times New Roman"/>
                <w:b w:val="0"/>
                <w:sz w:val="24"/>
                <w:szCs w:val="24"/>
              </w:rPr>
              <w:t xml:space="preserve">  </w:t>
            </w:r>
          </w:p>
        </w:tc>
      </w:tr>
      <w:tr w:rsidR="00C84F64" w:rsidRPr="00325A1F"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45C" w:rsidRPr="002462AA" w:rsidRDefault="002D345C" w:rsidP="004E18C3">
            <w:pPr>
              <w:spacing w:line="276" w:lineRule="auto"/>
              <w:rPr>
                <w:szCs w:val="24"/>
                <w:lang w:val="sq-AL"/>
              </w:rPr>
            </w:pPr>
            <w:r w:rsidRPr="002462AA">
              <w:rPr>
                <w:szCs w:val="24"/>
                <w:lang w:val="sq-AL"/>
              </w:rPr>
              <w:t xml:space="preserve">- </w:t>
            </w:r>
            <w:r w:rsidRPr="002462AA">
              <w:t xml:space="preserve">  </w:t>
            </w:r>
            <w:r w:rsidRPr="002462AA">
              <w:rPr>
                <w:szCs w:val="24"/>
                <w:lang w:val="sq-AL"/>
              </w:rPr>
              <w:t>Direktiva nr.</w:t>
            </w:r>
            <w:r w:rsidR="00802012" w:rsidRPr="002462AA">
              <w:rPr>
                <w:szCs w:val="24"/>
                <w:lang w:val="sq-AL"/>
              </w:rPr>
              <w:t xml:space="preserve"> 849/2015 ndryshuar nga 843/2018</w:t>
            </w:r>
            <w:r w:rsidRPr="002462AA">
              <w:rPr>
                <w:szCs w:val="24"/>
                <w:lang w:val="sq-AL"/>
              </w:rPr>
              <w:t xml:space="preserve"> të BE “Mbi parandalimin e përdorimit të sistemit financiar për qëllime të pastrimit të parave dhe financimit të terrorizmit”</w:t>
            </w:r>
            <w:r w:rsidR="002462AA" w:rsidRPr="002462AA">
              <w:rPr>
                <w:szCs w:val="24"/>
                <w:lang w:val="sq-AL"/>
              </w:rPr>
              <w:t>, b</w:t>
            </w:r>
            <w:r w:rsidR="002462AA">
              <w:rPr>
                <w:szCs w:val="24"/>
                <w:lang w:val="sq-AL"/>
              </w:rPr>
              <w:t>ë</w:t>
            </w:r>
            <w:r w:rsidR="002462AA" w:rsidRPr="002462AA">
              <w:rPr>
                <w:szCs w:val="24"/>
                <w:lang w:val="sq-AL"/>
              </w:rPr>
              <w:t>r</w:t>
            </w:r>
            <w:r w:rsidR="002462AA">
              <w:rPr>
                <w:szCs w:val="24"/>
                <w:lang w:val="sq-AL"/>
              </w:rPr>
              <w:t>ë</w:t>
            </w:r>
            <w:r w:rsidR="002462AA" w:rsidRPr="002462AA">
              <w:rPr>
                <w:szCs w:val="24"/>
                <w:lang w:val="sq-AL"/>
              </w:rPr>
              <w:t xml:space="preserve"> pjes</w:t>
            </w:r>
            <w:r w:rsidR="002462AA">
              <w:rPr>
                <w:szCs w:val="24"/>
                <w:lang w:val="sq-AL"/>
              </w:rPr>
              <w:t>ë</w:t>
            </w:r>
            <w:r w:rsidR="002462AA" w:rsidRPr="002462AA">
              <w:rPr>
                <w:szCs w:val="24"/>
                <w:lang w:val="sq-AL"/>
              </w:rPr>
              <w:t xml:space="preserve"> e legjislacionit t</w:t>
            </w:r>
            <w:r w:rsidR="002462AA">
              <w:rPr>
                <w:szCs w:val="24"/>
                <w:lang w:val="sq-AL"/>
              </w:rPr>
              <w:t>ë</w:t>
            </w:r>
            <w:r w:rsidR="002462AA" w:rsidRPr="002462AA">
              <w:rPr>
                <w:szCs w:val="24"/>
                <w:lang w:val="sq-AL"/>
              </w:rPr>
              <w:t xml:space="preserve"> brendsh</w:t>
            </w:r>
            <w:r w:rsidR="002462AA">
              <w:rPr>
                <w:szCs w:val="24"/>
                <w:lang w:val="sq-AL"/>
              </w:rPr>
              <w:t>ë</w:t>
            </w:r>
            <w:r w:rsidR="002462AA" w:rsidRPr="002462AA">
              <w:rPr>
                <w:szCs w:val="24"/>
                <w:lang w:val="sq-AL"/>
              </w:rPr>
              <w:t xml:space="preserve">m me </w:t>
            </w:r>
            <w:r w:rsidR="002462AA" w:rsidRPr="002462AA">
              <w:t xml:space="preserve"> </w:t>
            </w:r>
            <w:r w:rsidR="002462AA" w:rsidRPr="002462AA">
              <w:rPr>
                <w:szCs w:val="24"/>
                <w:lang w:val="sq-AL"/>
              </w:rPr>
              <w:t>ligjin nr. 9590/2006 “Per ratifikimin e Marrveshjes te stabilizim asiocimit ndermjet republikes se shqiperise dhe Komuniteteve Evropiane e shteteve te tyre anetare”.</w:t>
            </w:r>
          </w:p>
          <w:p w:rsidR="002D345C" w:rsidRPr="002462AA" w:rsidRDefault="002D345C" w:rsidP="004E18C3">
            <w:pPr>
              <w:spacing w:line="276" w:lineRule="auto"/>
              <w:rPr>
                <w:szCs w:val="24"/>
                <w:lang w:val="sq-AL"/>
              </w:rPr>
            </w:pPr>
          </w:p>
          <w:p w:rsidR="000B14D5" w:rsidRPr="002462AA" w:rsidRDefault="000B14D5" w:rsidP="004E18C3">
            <w:pPr>
              <w:spacing w:line="276" w:lineRule="auto"/>
              <w:rPr>
                <w:szCs w:val="24"/>
                <w:lang w:val="sq-AL"/>
              </w:rPr>
            </w:pPr>
            <w:r w:rsidRPr="002462AA">
              <w:rPr>
                <w:szCs w:val="24"/>
                <w:lang w:val="sq-AL"/>
              </w:rPr>
              <w:t>- “Plani i p</w:t>
            </w:r>
            <w:r w:rsidR="002D345C" w:rsidRPr="002462AA">
              <w:rPr>
                <w:szCs w:val="24"/>
                <w:lang w:val="sq-AL"/>
              </w:rPr>
              <w:t>ë</w:t>
            </w:r>
            <w:r w:rsidRPr="002462AA">
              <w:rPr>
                <w:szCs w:val="24"/>
                <w:lang w:val="sq-AL"/>
              </w:rPr>
              <w:t>rbashk</w:t>
            </w:r>
            <w:r w:rsidR="002D345C" w:rsidRPr="002462AA">
              <w:rPr>
                <w:szCs w:val="24"/>
                <w:lang w:val="sq-AL"/>
              </w:rPr>
              <w:t>ë</w:t>
            </w:r>
            <w:r w:rsidRPr="002462AA">
              <w:rPr>
                <w:szCs w:val="24"/>
                <w:lang w:val="sq-AL"/>
              </w:rPr>
              <w:t>t i veprimit kund</w:t>
            </w:r>
            <w:r w:rsidR="002D345C" w:rsidRPr="002462AA">
              <w:rPr>
                <w:szCs w:val="24"/>
                <w:lang w:val="sq-AL"/>
              </w:rPr>
              <w:t>ë</w:t>
            </w:r>
            <w:r w:rsidRPr="002462AA">
              <w:rPr>
                <w:szCs w:val="24"/>
                <w:lang w:val="sq-AL"/>
              </w:rPr>
              <w:t>r terrorizmit, BE-Ballkani Per</w:t>
            </w:r>
            <w:r w:rsidR="002D345C" w:rsidRPr="002462AA">
              <w:rPr>
                <w:szCs w:val="24"/>
                <w:lang w:val="sq-AL"/>
              </w:rPr>
              <w:t>ë</w:t>
            </w:r>
            <w:r w:rsidRPr="002462AA">
              <w:rPr>
                <w:szCs w:val="24"/>
                <w:lang w:val="sq-AL"/>
              </w:rPr>
              <w:t>ndimor”</w:t>
            </w:r>
            <w:r w:rsidR="004E18C3" w:rsidRPr="002462AA">
              <w:rPr>
                <w:szCs w:val="24"/>
                <w:lang w:val="sq-AL"/>
              </w:rPr>
              <w:t xml:space="preserve"> (Objektivit 4 të Planit të Përbashkët të Veprimit)</w:t>
            </w:r>
          </w:p>
          <w:p w:rsidR="00A32266" w:rsidRPr="002462AA" w:rsidRDefault="00A32266" w:rsidP="004E18C3">
            <w:pPr>
              <w:spacing w:line="276" w:lineRule="auto"/>
              <w:rPr>
                <w:szCs w:val="24"/>
                <w:lang w:val="sq-AL"/>
              </w:rPr>
            </w:pPr>
          </w:p>
          <w:p w:rsidR="00A32266" w:rsidRPr="002462AA" w:rsidRDefault="002F0E18" w:rsidP="002F0E18">
            <w:pPr>
              <w:spacing w:line="276" w:lineRule="auto"/>
              <w:rPr>
                <w:szCs w:val="24"/>
                <w:lang w:val="sq-AL"/>
              </w:rPr>
            </w:pPr>
            <w:r w:rsidRPr="002462AA">
              <w:rPr>
                <w:szCs w:val="24"/>
                <w:lang w:val="sq-AL"/>
              </w:rPr>
              <w:t>- “Plani i veprimit për adresimin e rekomandimeve të Moneyval” Vendimi nr.1 datë 04.09.2018 i Komitetit të Bashkërendimit të luftës Kundër Pastrimit të Parave (KBLKPP)</w:t>
            </w:r>
          </w:p>
          <w:p w:rsidR="00CA40EE" w:rsidRPr="00325A1F" w:rsidRDefault="00CA40EE" w:rsidP="002D345C">
            <w:pPr>
              <w:spacing w:line="276" w:lineRule="auto"/>
              <w:rPr>
                <w:szCs w:val="24"/>
                <w:lang w:val="sq-AL"/>
              </w:rPr>
            </w:pPr>
          </w:p>
        </w:tc>
      </w:tr>
      <w:tr w:rsidR="00C84F64" w:rsidRPr="00325A1F"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B16AC8" w:rsidP="00D7478D">
            <w:pPr>
              <w:spacing w:line="276" w:lineRule="auto"/>
              <w:rPr>
                <w:szCs w:val="24"/>
                <w:lang w:val="sq-AL"/>
              </w:rPr>
            </w:pPr>
            <w:sdt>
              <w:sdtPr>
                <w:rPr>
                  <w:szCs w:val="24"/>
                  <w:lang w:val="en-US"/>
                </w:rPr>
                <w:alias w:val="Data/Asnjë konsultim publik"/>
                <w:tag w:val="Data/Asnjë konsultim publik"/>
                <w:id w:val="2012326733"/>
                <w:placeholder>
                  <w:docPart w:val="FD861CBE38474042B6487F314DCD3331"/>
                </w:placeholder>
                <w:date w:fullDate="2020-09-09T00:00:00Z">
                  <w:dateFormat w:val="dd/MM/yyyy"/>
                  <w:lid w:val="en-US"/>
                  <w:storeMappedDataAs w:val="dateTime"/>
                  <w:calendar w:val="gregorian"/>
                </w:date>
              </w:sdtPr>
              <w:sdtEndPr/>
              <w:sdtContent>
                <w:r w:rsidR="001C26AA">
                  <w:rPr>
                    <w:szCs w:val="24"/>
                    <w:lang w:val="en-US"/>
                  </w:rPr>
                  <w:t>09/09/2020</w:t>
                </w:r>
              </w:sdtContent>
            </w:sdt>
          </w:p>
        </w:tc>
      </w:tr>
      <w:tr w:rsidR="00C84F64" w:rsidRPr="00325A1F"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B16AC8" w:rsidP="002462AA">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902FE64B29424F659DBB099D6CE88D80"/>
                </w:placeholder>
                <w:date w:fullDate="2020-09-10T00:00:00Z">
                  <w:dateFormat w:val="dd/MM/yyyy"/>
                  <w:lid w:val="en-US"/>
                  <w:storeMappedDataAs w:val="dateTime"/>
                  <w:calendar w:val="gregorian"/>
                </w:date>
              </w:sdtPr>
              <w:sdtEndPr/>
              <w:sdtContent>
                <w:r w:rsidR="002462AA">
                  <w:rPr>
                    <w:szCs w:val="24"/>
                    <w:lang w:val="en-US"/>
                  </w:rPr>
                  <w:t>10/09/2020</w:t>
                </w:r>
              </w:sdtContent>
            </w:sdt>
          </w:p>
        </w:tc>
      </w:tr>
      <w:tr w:rsidR="00C84F64" w:rsidRPr="00325A1F"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131C" w:rsidRPr="00325A1F" w:rsidRDefault="002462AA"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r w:rsidR="007163CA">
              <w:rPr>
                <w:rStyle w:val="IASOIChar"/>
                <w:rFonts w:ascii="Times New Roman" w:hAnsi="Times New Roman"/>
                <w:b w:val="0"/>
                <w:sz w:val="24"/>
                <w:szCs w:val="24"/>
              </w:rPr>
              <w:t xml:space="preserve"> – ne proces</w:t>
            </w:r>
          </w:p>
          <w:p w:rsidR="008326DB" w:rsidRPr="00325A1F" w:rsidRDefault="00B16AC8" w:rsidP="003B5CBC">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date w:fullDate="2020-09-10T00:00:00Z">
                  <w:dateFormat w:val="dd/MM/yyyy"/>
                  <w:lid w:val="en-US"/>
                  <w:storeMappedDataAs w:val="dateTime"/>
                  <w:calendar w:val="gregorian"/>
                </w:date>
              </w:sdtPr>
              <w:sdtEndPr/>
              <w:sdtContent>
                <w:r w:rsidR="002462AA">
                  <w:rPr>
                    <w:szCs w:val="24"/>
                    <w:lang w:val="en-US"/>
                  </w:rPr>
                  <w:t>10/09/2020</w:t>
                </w:r>
              </w:sdtContent>
            </w:sdt>
          </w:p>
        </w:tc>
      </w:tr>
      <w:tr w:rsidR="00C84F64" w:rsidRPr="00325A1F"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8E7E39" w:rsidRDefault="001C26AA" w:rsidP="001C26AA">
            <w:pPr>
              <w:spacing w:line="276" w:lineRule="auto"/>
              <w:rPr>
                <w:szCs w:val="24"/>
                <w:lang w:val="sq-AL"/>
              </w:rPr>
            </w:pPr>
            <w:r w:rsidRPr="008E7E39">
              <w:rPr>
                <w:szCs w:val="24"/>
              </w:rPr>
              <w:t>2020</w:t>
            </w:r>
            <w:r w:rsidR="00FF0F21" w:rsidRPr="008E7E39">
              <w:rPr>
                <w:szCs w:val="24"/>
                <w:lang w:val="sq-AL"/>
              </w:rPr>
              <w:t xml:space="preserve">– </w:t>
            </w:r>
            <w:r w:rsidRPr="008E7E39">
              <w:rPr>
                <w:szCs w:val="24"/>
              </w:rPr>
              <w:t>MFE</w:t>
            </w:r>
            <w:r w:rsidR="00B51927" w:rsidRPr="008E7E39">
              <w:rPr>
                <w:rStyle w:val="IASOIChar"/>
                <w:rFonts w:ascii="Times New Roman" w:hAnsi="Times New Roman"/>
                <w:b w:val="0"/>
                <w:color w:val="auto"/>
                <w:sz w:val="24"/>
                <w:szCs w:val="24"/>
              </w:rPr>
              <w:t xml:space="preserve">  </w:t>
            </w:r>
            <w:r w:rsidR="00FF0F21" w:rsidRPr="008E7E39">
              <w:rPr>
                <w:szCs w:val="24"/>
                <w:lang w:val="sq-AL"/>
              </w:rPr>
              <w:t xml:space="preserve">–  </w:t>
            </w:r>
            <w:r w:rsidR="00B51927" w:rsidRPr="008E7E39">
              <w:rPr>
                <w:szCs w:val="24"/>
                <w:lang w:val="sq-AL"/>
              </w:rPr>
              <w:t xml:space="preserve">Nr. </w:t>
            </w:r>
            <w:r w:rsidR="00B51927" w:rsidRPr="008E7E39">
              <w:rPr>
                <w:szCs w:val="24"/>
              </w:rPr>
              <w:fldChar w:fldCharType="begin">
                <w:ffData>
                  <w:name w:val=""/>
                  <w:enabled/>
                  <w:calcOnExit w:val="0"/>
                  <w:textInput>
                    <w:default w:val="VN"/>
                    <w:maxLength w:val="70"/>
                  </w:textInput>
                </w:ffData>
              </w:fldChar>
            </w:r>
            <w:r w:rsidR="00B51927" w:rsidRPr="008E7E39">
              <w:rPr>
                <w:szCs w:val="24"/>
              </w:rPr>
              <w:instrText xml:space="preserve"> FORMTEXT </w:instrText>
            </w:r>
            <w:r w:rsidR="00B51927" w:rsidRPr="008E7E39">
              <w:rPr>
                <w:szCs w:val="24"/>
              </w:rPr>
            </w:r>
            <w:r w:rsidR="00B51927" w:rsidRPr="008E7E39">
              <w:rPr>
                <w:szCs w:val="24"/>
              </w:rPr>
              <w:fldChar w:fldCharType="separate"/>
            </w:r>
            <w:r w:rsidR="00B51927" w:rsidRPr="008E7E39">
              <w:rPr>
                <w:noProof/>
                <w:szCs w:val="24"/>
              </w:rPr>
              <w:t>VN</w:t>
            </w:r>
            <w:r w:rsidR="00B51927" w:rsidRPr="008E7E39">
              <w:rPr>
                <w:szCs w:val="24"/>
              </w:rPr>
              <w:fldChar w:fldCharType="end"/>
            </w:r>
            <w:r w:rsidR="00B51927" w:rsidRPr="008E7E39">
              <w:rPr>
                <w:rStyle w:val="IASOIChar"/>
                <w:rFonts w:ascii="Times New Roman" w:hAnsi="Times New Roman"/>
                <w:b w:val="0"/>
                <w:color w:val="auto"/>
                <w:sz w:val="24"/>
                <w:szCs w:val="24"/>
              </w:rPr>
              <w:t xml:space="preserve">  </w:t>
            </w:r>
          </w:p>
        </w:tc>
      </w:tr>
      <w:tr w:rsidR="00C84F64" w:rsidRPr="00325A1F"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A40EE" w:rsidRPr="00325A1F" w:rsidRDefault="00CA40EE" w:rsidP="007B6556">
            <w:pPr>
              <w:spacing w:line="276" w:lineRule="auto"/>
              <w:rPr>
                <w:b/>
                <w:szCs w:val="24"/>
                <w:lang w:val="sq-AL"/>
              </w:rPr>
            </w:pPr>
            <w:r w:rsidRPr="00325A1F">
              <w:rPr>
                <w:b/>
                <w:szCs w:val="24"/>
                <w:lang w:val="sq-AL"/>
              </w:rPr>
              <w:t xml:space="preserve">TE DHËNA KONTAKTI </w:t>
            </w:r>
          </w:p>
          <w:p w:rsidR="00CA40EE" w:rsidRPr="00325A1F" w:rsidRDefault="00CA40EE" w:rsidP="007B6556">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26AA" w:rsidRPr="008E7E39" w:rsidRDefault="00B17990" w:rsidP="00B17990">
                <w:pPr>
                  <w:spacing w:line="276" w:lineRule="auto"/>
                  <w:jc w:val="both"/>
                  <w:rPr>
                    <w:szCs w:val="24"/>
                    <w:lang w:val="sq-AL"/>
                  </w:rPr>
                </w:pPr>
                <w:r w:rsidRPr="008E7E39">
                  <w:rPr>
                    <w:szCs w:val="24"/>
                    <w:lang w:val="sq-AL"/>
                  </w:rPr>
                  <w:t xml:space="preserve"> </w:t>
                </w:r>
                <w:r w:rsidR="001C26AA" w:rsidRPr="008E7E39">
                  <w:rPr>
                    <w:szCs w:val="24"/>
                    <w:lang w:val="sq-AL"/>
                  </w:rPr>
                  <w:t>Hava Delibashi 0684381875</w:t>
                </w:r>
              </w:p>
              <w:p w:rsidR="001C26AA" w:rsidRPr="008E7E39" w:rsidRDefault="00B16AC8" w:rsidP="00B17990">
                <w:pPr>
                  <w:spacing w:line="276" w:lineRule="auto"/>
                  <w:jc w:val="both"/>
                  <w:rPr>
                    <w:szCs w:val="24"/>
                    <w:lang w:val="sq-AL"/>
                  </w:rPr>
                </w:pPr>
                <w:hyperlink r:id="rId8" w:history="1">
                  <w:r w:rsidR="001C26AA" w:rsidRPr="008E7E39">
                    <w:rPr>
                      <w:rStyle w:val="Hyperlink"/>
                      <w:szCs w:val="24"/>
                      <w:lang w:val="sq-AL"/>
                    </w:rPr>
                    <w:t>hava.delibashi@financa.gov.al</w:t>
                  </w:r>
                </w:hyperlink>
              </w:p>
              <w:p w:rsidR="00E93B66" w:rsidRPr="008E7E39" w:rsidRDefault="00E93B66" w:rsidP="00B17990">
                <w:pPr>
                  <w:spacing w:line="276" w:lineRule="auto"/>
                  <w:jc w:val="both"/>
                  <w:rPr>
                    <w:szCs w:val="24"/>
                    <w:lang w:val="sq-AL"/>
                  </w:rPr>
                </w:pPr>
                <w:r w:rsidRPr="008E7E39">
                  <w:rPr>
                    <w:szCs w:val="24"/>
                    <w:lang w:val="sq-AL"/>
                  </w:rPr>
                  <w:t>Ila Koja 0693012113</w:t>
                </w:r>
              </w:p>
              <w:p w:rsidR="00E93B66" w:rsidRPr="008E7E39" w:rsidRDefault="00B16AC8" w:rsidP="00B17990">
                <w:pPr>
                  <w:spacing w:line="276" w:lineRule="auto"/>
                  <w:jc w:val="both"/>
                  <w:rPr>
                    <w:szCs w:val="24"/>
                    <w:lang w:val="sq-AL"/>
                  </w:rPr>
                </w:pPr>
                <w:hyperlink r:id="rId9" w:history="1">
                  <w:r w:rsidR="00E93B66" w:rsidRPr="008E7E39">
                    <w:rPr>
                      <w:rStyle w:val="Hyperlink"/>
                      <w:szCs w:val="24"/>
                      <w:lang w:val="sq-AL"/>
                    </w:rPr>
                    <w:t>Ilda.koja@tatime.gov.al</w:t>
                  </w:r>
                </w:hyperlink>
              </w:p>
              <w:p w:rsidR="008E7E39" w:rsidRPr="008E7E39" w:rsidRDefault="00E93B66" w:rsidP="00B17990">
                <w:pPr>
                  <w:spacing w:line="276" w:lineRule="auto"/>
                  <w:jc w:val="both"/>
                  <w:rPr>
                    <w:szCs w:val="24"/>
                    <w:lang w:val="sq-AL"/>
                  </w:rPr>
                </w:pPr>
                <w:r w:rsidRPr="008E7E39">
                  <w:rPr>
                    <w:szCs w:val="24"/>
                    <w:lang w:val="sq-AL"/>
                  </w:rPr>
                  <w:t xml:space="preserve">Entila Jashari </w:t>
                </w:r>
                <w:r w:rsidR="00B45421" w:rsidRPr="008E7E39">
                  <w:rPr>
                    <w:szCs w:val="24"/>
                    <w:lang w:val="sq-AL"/>
                  </w:rPr>
                  <w:t xml:space="preserve"> </w:t>
                </w:r>
              </w:p>
              <w:p w:rsidR="00E93B66" w:rsidRPr="008E7E39" w:rsidRDefault="00B16AC8" w:rsidP="00B17990">
                <w:pPr>
                  <w:spacing w:line="276" w:lineRule="auto"/>
                  <w:jc w:val="both"/>
                  <w:rPr>
                    <w:szCs w:val="24"/>
                    <w:lang w:val="sq-AL"/>
                  </w:rPr>
                </w:pPr>
                <w:hyperlink r:id="rId10" w:history="1">
                  <w:r w:rsidR="00B45421" w:rsidRPr="008E7E39">
                    <w:rPr>
                      <w:rStyle w:val="Hyperlink"/>
                      <w:szCs w:val="24"/>
                      <w:lang w:val="sq-AL"/>
                    </w:rPr>
                    <w:t>ejashari@fint.gov.al</w:t>
                  </w:r>
                </w:hyperlink>
                <w:r w:rsidR="00B45421" w:rsidRPr="008E7E39">
                  <w:rPr>
                    <w:szCs w:val="24"/>
                    <w:lang w:val="sq-AL"/>
                  </w:rPr>
                  <w:t xml:space="preserve"> </w:t>
                </w:r>
              </w:p>
              <w:p w:rsidR="00CA40EE" w:rsidRPr="008E7E39" w:rsidRDefault="00CA40EE" w:rsidP="00B17990">
                <w:pPr>
                  <w:spacing w:line="276" w:lineRule="auto"/>
                  <w:jc w:val="both"/>
                  <w:rPr>
                    <w:szCs w:val="24"/>
                    <w:lang w:val="sq-AL"/>
                  </w:rPr>
                </w:pPr>
              </w:p>
            </w:tc>
          </w:sdtContent>
        </w:sdt>
      </w:tr>
      <w:tr w:rsidR="00CA40EE" w:rsidRPr="00325A1F"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7B6556">
            <w:pPr>
              <w:spacing w:line="276" w:lineRule="auto"/>
              <w:jc w:val="both"/>
              <w:rPr>
                <w:b/>
                <w:szCs w:val="24"/>
                <w:lang w:val="sq-AL"/>
              </w:rPr>
            </w:pPr>
          </w:p>
        </w:tc>
      </w:tr>
      <w:tr w:rsidR="00CA40EE" w:rsidRPr="00325A1F"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40EE" w:rsidRPr="00325A1F" w:rsidRDefault="00CA40EE" w:rsidP="00C133FC">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0D5974"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rsidR="00CA40EE" w:rsidRDefault="00CA40EE" w:rsidP="007B6556">
            <w:pPr>
              <w:spacing w:line="276" w:lineRule="auto"/>
              <w:jc w:val="both"/>
              <w:rPr>
                <w:b/>
                <w:szCs w:val="24"/>
                <w:lang w:val="sq-AL"/>
              </w:rPr>
            </w:pPr>
            <w:r w:rsidRPr="00325A1F">
              <w:rPr>
                <w:b/>
                <w:szCs w:val="24"/>
                <w:lang w:val="sq-AL"/>
              </w:rPr>
              <w:t>PËRKUFIZIMI I PROBLEMIT</w:t>
            </w:r>
          </w:p>
          <w:p w:rsidR="00802012" w:rsidRPr="003A3977" w:rsidRDefault="00802012" w:rsidP="0080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C0504D" w:themeColor="accent2"/>
                <w:szCs w:val="24"/>
                <w:lang w:val="sq-AL"/>
              </w:rPr>
            </w:pPr>
          </w:p>
          <w:p w:rsidR="00E01CE8" w:rsidRPr="003A3977" w:rsidRDefault="002864EF" w:rsidP="003A3977">
            <w:pPr>
              <w:spacing w:line="276" w:lineRule="auto"/>
              <w:jc w:val="both"/>
              <w:rPr>
                <w:szCs w:val="24"/>
                <w:lang w:val="sq-AL"/>
              </w:rPr>
            </w:pPr>
            <w:r w:rsidRPr="003A3977">
              <w:rPr>
                <w:szCs w:val="24"/>
                <w:lang w:val="sq-AL"/>
              </w:rPr>
              <w:t>Në zbatim të Planit të Përba</w:t>
            </w:r>
            <w:r w:rsidR="003A3977" w:rsidRPr="003A3977">
              <w:rPr>
                <w:szCs w:val="24"/>
                <w:lang w:val="sq-AL"/>
              </w:rPr>
              <w:t>shkët të Veprimit</w:t>
            </w:r>
            <w:r w:rsidRPr="003A3977">
              <w:rPr>
                <w:szCs w:val="24"/>
                <w:lang w:val="sq-AL"/>
              </w:rPr>
              <w:t xml:space="preserve"> si edhe duke nbajtur ne konsiderate parashikimet e nenit 32a t</w:t>
            </w:r>
            <w:r w:rsidR="008E63A7">
              <w:rPr>
                <w:szCs w:val="24"/>
                <w:lang w:val="sq-AL"/>
              </w:rPr>
              <w:t>ë</w:t>
            </w:r>
            <w:r w:rsidRPr="003A3977">
              <w:rPr>
                <w:szCs w:val="24"/>
                <w:lang w:val="sq-AL"/>
              </w:rPr>
              <w:t xml:space="preserve"> Direktivës 2015/849/ EU1 “Kundër Pastrimit të Parave” i cili kërkon ngritjen e regjistrave qendror të llogarive bankare për identifikimin e çdo personi fizik apo juridik, që mban apo kontrollon llogari pagesash, llogari bankare apo kasetat e sigurisë në territoret e </w:t>
            </w:r>
            <w:r w:rsidRPr="003A3977">
              <w:rPr>
                <w:szCs w:val="24"/>
                <w:lang w:val="sq-AL"/>
              </w:rPr>
              <w:lastRenderedPageBreak/>
              <w:t xml:space="preserve">tyre, </w:t>
            </w:r>
            <w:r w:rsidR="008E63A7">
              <w:rPr>
                <w:szCs w:val="24"/>
                <w:lang w:val="sq-AL"/>
              </w:rPr>
              <w:t>ë</w:t>
            </w:r>
            <w:r w:rsidRPr="003A3977">
              <w:rPr>
                <w:szCs w:val="24"/>
                <w:lang w:val="sq-AL"/>
              </w:rPr>
              <w:t>sht</w:t>
            </w:r>
            <w:r w:rsidR="008E63A7">
              <w:rPr>
                <w:szCs w:val="24"/>
                <w:lang w:val="sq-AL"/>
              </w:rPr>
              <w:t>ë</w:t>
            </w:r>
            <w:r w:rsidRPr="003A3977">
              <w:rPr>
                <w:szCs w:val="24"/>
                <w:lang w:val="sq-AL"/>
              </w:rPr>
              <w:t xml:space="preserve"> konkluduar q</w:t>
            </w:r>
            <w:r w:rsidR="008E63A7">
              <w:rPr>
                <w:szCs w:val="24"/>
                <w:lang w:val="sq-AL"/>
              </w:rPr>
              <w:t>ë</w:t>
            </w:r>
            <w:r w:rsidRPr="003A3977">
              <w:rPr>
                <w:szCs w:val="24"/>
                <w:lang w:val="sq-AL"/>
              </w:rPr>
              <w:t xml:space="preserve"> n</w:t>
            </w:r>
            <w:r w:rsidR="008E63A7">
              <w:rPr>
                <w:szCs w:val="24"/>
                <w:lang w:val="sq-AL"/>
              </w:rPr>
              <w:t>ë</w:t>
            </w:r>
            <w:r w:rsidRPr="003A3977">
              <w:rPr>
                <w:i/>
                <w:szCs w:val="24"/>
                <w:lang w:val="sq-AL"/>
              </w:rPr>
              <w:t xml:space="preserve"> </w:t>
            </w:r>
            <w:r w:rsidRPr="003A3977">
              <w:rPr>
                <w:szCs w:val="24"/>
                <w:lang w:val="sq-AL"/>
              </w:rPr>
              <w:t>kuadrin ligjor Shqiptar evidentohet nj</w:t>
            </w:r>
            <w:r w:rsidR="008E63A7">
              <w:rPr>
                <w:szCs w:val="24"/>
                <w:lang w:val="sq-AL"/>
              </w:rPr>
              <w:t>ë</w:t>
            </w:r>
            <w:r w:rsidRPr="003A3977">
              <w:rPr>
                <w:szCs w:val="24"/>
                <w:lang w:val="sq-AL"/>
              </w:rPr>
              <w:t xml:space="preserve"> vakum ligjor për sa i përket krijimit të një regjistri të llogarive bankare. </w:t>
            </w:r>
          </w:p>
          <w:p w:rsidR="003A3977" w:rsidRPr="003A3977" w:rsidRDefault="00E01CE8" w:rsidP="00E01CE8">
            <w:pPr>
              <w:pStyle w:val="HTMLPreformatted"/>
              <w:spacing w:line="276" w:lineRule="auto"/>
              <w:jc w:val="both"/>
              <w:rPr>
                <w:rFonts w:ascii="Times New Roman" w:hAnsi="Times New Roman" w:cs="Times New Roman"/>
                <w:sz w:val="24"/>
                <w:szCs w:val="24"/>
                <w:lang w:val="sq-AL"/>
              </w:rPr>
            </w:pPr>
            <w:r w:rsidRPr="003A3977">
              <w:rPr>
                <w:rFonts w:ascii="Times New Roman" w:hAnsi="Times New Roman" w:cs="Times New Roman"/>
                <w:sz w:val="24"/>
                <w:szCs w:val="24"/>
                <w:lang w:val="sq-AL"/>
              </w:rPr>
              <w:t xml:space="preserve">Sipas kësaj direktive, informacioni duhet të jetë drejtpërdrejtë i aksesueshëm për Njësitë e Inteligjencës Financiare, si edhe për autoritetet kombëtare kompetente për parandalimin e pastrimit të parave, “veprave penale mëmë” dhe financimin e terrorizmit. </w:t>
            </w:r>
          </w:p>
          <w:p w:rsidR="002864EF" w:rsidRPr="003A3977" w:rsidRDefault="002864EF" w:rsidP="003A3977">
            <w:pPr>
              <w:spacing w:line="276" w:lineRule="auto"/>
              <w:jc w:val="both"/>
              <w:rPr>
                <w:i/>
                <w:szCs w:val="24"/>
                <w:lang w:val="sq-AL"/>
              </w:rPr>
            </w:pPr>
            <w:r w:rsidRPr="003A3977">
              <w:rPr>
                <w:szCs w:val="24"/>
                <w:lang w:val="sq-AL"/>
              </w:rPr>
              <w:t>Pra</w:t>
            </w:r>
            <w:r w:rsidR="00E06953">
              <w:rPr>
                <w:szCs w:val="24"/>
                <w:lang w:val="sq-AL"/>
              </w:rPr>
              <w:t>,</w:t>
            </w:r>
            <w:r w:rsidRPr="003A3977">
              <w:rPr>
                <w:szCs w:val="24"/>
                <w:lang w:val="sq-AL"/>
              </w:rPr>
              <w:t xml:space="preserve"> ne ende nuk kemi nje ligj specifik i cili t</w:t>
            </w:r>
            <w:r w:rsidR="008E63A7">
              <w:rPr>
                <w:szCs w:val="24"/>
                <w:lang w:val="sq-AL"/>
              </w:rPr>
              <w:t>ë</w:t>
            </w:r>
            <w:r w:rsidRPr="003A3977">
              <w:rPr>
                <w:szCs w:val="24"/>
                <w:lang w:val="sq-AL"/>
              </w:rPr>
              <w:t xml:space="preserve"> mund</w:t>
            </w:r>
            <w:r w:rsidR="008E63A7">
              <w:rPr>
                <w:szCs w:val="24"/>
                <w:lang w:val="sq-AL"/>
              </w:rPr>
              <w:t>ë</w:t>
            </w:r>
            <w:r w:rsidRPr="003A3977">
              <w:rPr>
                <w:szCs w:val="24"/>
                <w:lang w:val="sq-AL"/>
              </w:rPr>
              <w:t>soj</w:t>
            </w:r>
            <w:r w:rsidR="008E63A7">
              <w:rPr>
                <w:szCs w:val="24"/>
                <w:lang w:val="sq-AL"/>
              </w:rPr>
              <w:t>ë</w:t>
            </w:r>
            <w:r w:rsidRPr="003A3977">
              <w:rPr>
                <w:szCs w:val="24"/>
                <w:lang w:val="sq-AL"/>
              </w:rPr>
              <w:t xml:space="preserve"> detyrimin e ngritjes s</w:t>
            </w:r>
            <w:r w:rsidR="008E63A7">
              <w:rPr>
                <w:szCs w:val="24"/>
                <w:lang w:val="sq-AL"/>
              </w:rPr>
              <w:t>ë</w:t>
            </w:r>
            <w:r w:rsidRPr="003A3977">
              <w:rPr>
                <w:szCs w:val="24"/>
                <w:lang w:val="sq-AL"/>
              </w:rPr>
              <w:t xml:space="preserve"> nj</w:t>
            </w:r>
            <w:r w:rsidR="008E63A7">
              <w:rPr>
                <w:szCs w:val="24"/>
                <w:lang w:val="sq-AL"/>
              </w:rPr>
              <w:t>ë</w:t>
            </w:r>
            <w:r w:rsidRPr="003A3977">
              <w:rPr>
                <w:szCs w:val="24"/>
                <w:lang w:val="sq-AL"/>
              </w:rPr>
              <w:t xml:space="preserve"> regjistri </w:t>
            </w:r>
            <w:r w:rsidR="00135771" w:rsidRPr="003A3977">
              <w:rPr>
                <w:szCs w:val="24"/>
                <w:lang w:val="sq-AL"/>
              </w:rPr>
              <w:t>qendror p</w:t>
            </w:r>
            <w:r w:rsidR="008E63A7">
              <w:rPr>
                <w:szCs w:val="24"/>
                <w:lang w:val="sq-AL"/>
              </w:rPr>
              <w:t>ë</w:t>
            </w:r>
            <w:r w:rsidR="00135771" w:rsidRPr="003A3977">
              <w:rPr>
                <w:szCs w:val="24"/>
                <w:lang w:val="sq-AL"/>
              </w:rPr>
              <w:t>r llogarit</w:t>
            </w:r>
            <w:r w:rsidR="008E63A7">
              <w:rPr>
                <w:szCs w:val="24"/>
                <w:lang w:val="sq-AL"/>
              </w:rPr>
              <w:t>ë</w:t>
            </w:r>
            <w:r w:rsidR="00135771" w:rsidRPr="003A3977">
              <w:rPr>
                <w:szCs w:val="24"/>
                <w:lang w:val="sq-AL"/>
              </w:rPr>
              <w:t xml:space="preserve"> bankare</w:t>
            </w:r>
            <w:r w:rsidR="003A3977" w:rsidRPr="003A3977">
              <w:rPr>
                <w:szCs w:val="24"/>
                <w:lang w:val="sq-AL"/>
              </w:rPr>
              <w:t xml:space="preserve"> si edhe t</w:t>
            </w:r>
            <w:r w:rsidR="008E63A7">
              <w:rPr>
                <w:szCs w:val="24"/>
                <w:lang w:val="sq-AL"/>
              </w:rPr>
              <w:t>ë</w:t>
            </w:r>
            <w:r w:rsidR="003A3977" w:rsidRPr="003A3977">
              <w:rPr>
                <w:szCs w:val="24"/>
                <w:lang w:val="sq-AL"/>
              </w:rPr>
              <w:t xml:space="preserve"> rregulloj</w:t>
            </w:r>
            <w:r w:rsidR="008E63A7">
              <w:rPr>
                <w:szCs w:val="24"/>
                <w:lang w:val="sq-AL"/>
              </w:rPr>
              <w:t>ë</w:t>
            </w:r>
            <w:r w:rsidR="003A3977" w:rsidRPr="003A3977">
              <w:rPr>
                <w:szCs w:val="24"/>
                <w:lang w:val="sq-AL"/>
              </w:rPr>
              <w:t xml:space="preserve"> t</w:t>
            </w:r>
            <w:r w:rsidR="008E63A7">
              <w:rPr>
                <w:szCs w:val="24"/>
                <w:lang w:val="sq-AL"/>
              </w:rPr>
              <w:t>ë</w:t>
            </w:r>
            <w:r w:rsidR="003A3977" w:rsidRPr="003A3977">
              <w:rPr>
                <w:szCs w:val="24"/>
                <w:lang w:val="sq-AL"/>
              </w:rPr>
              <w:t xml:space="preserve"> drejtat dhe detyrimet q</w:t>
            </w:r>
            <w:r w:rsidR="008E63A7">
              <w:rPr>
                <w:szCs w:val="24"/>
                <w:lang w:val="sq-AL"/>
              </w:rPr>
              <w:t>ë</w:t>
            </w:r>
            <w:r w:rsidR="003A3977" w:rsidRPr="003A3977">
              <w:rPr>
                <w:szCs w:val="24"/>
                <w:lang w:val="sq-AL"/>
              </w:rPr>
              <w:t xml:space="preserve"> lindin nga funksionimi i k</w:t>
            </w:r>
            <w:r w:rsidR="008E63A7">
              <w:rPr>
                <w:szCs w:val="24"/>
                <w:lang w:val="sq-AL"/>
              </w:rPr>
              <w:t>ë</w:t>
            </w:r>
            <w:r w:rsidR="003A3977" w:rsidRPr="003A3977">
              <w:rPr>
                <w:szCs w:val="24"/>
                <w:lang w:val="sq-AL"/>
              </w:rPr>
              <w:t>tij regjistri.</w:t>
            </w:r>
          </w:p>
          <w:p w:rsidR="001E0D36" w:rsidRPr="000D5974" w:rsidRDefault="001E0D36" w:rsidP="001E0D36">
            <w:pPr>
              <w:rPr>
                <w:lang w:val="sq-AL"/>
              </w:rPr>
            </w:pPr>
          </w:p>
        </w:tc>
      </w:tr>
      <w:tr w:rsidR="00CA40EE" w:rsidRPr="00325A1F"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rsidR="00CA40EE" w:rsidRDefault="00CA40EE" w:rsidP="007B6556">
            <w:pPr>
              <w:spacing w:line="276" w:lineRule="auto"/>
              <w:jc w:val="both"/>
              <w:rPr>
                <w:b/>
                <w:szCs w:val="24"/>
                <w:lang w:val="sq-AL"/>
              </w:rPr>
            </w:pPr>
            <w:r w:rsidRPr="00325A1F">
              <w:rPr>
                <w:b/>
                <w:szCs w:val="24"/>
                <w:lang w:val="sq-AL"/>
              </w:rPr>
              <w:lastRenderedPageBreak/>
              <w:t>OBJEKTIVAT</w:t>
            </w:r>
          </w:p>
          <w:p w:rsidR="000F5463" w:rsidRDefault="000F5463" w:rsidP="007B6556">
            <w:pPr>
              <w:spacing w:line="276" w:lineRule="auto"/>
              <w:jc w:val="both"/>
              <w:rPr>
                <w:b/>
                <w:szCs w:val="24"/>
                <w:lang w:val="sq-AL"/>
              </w:rPr>
            </w:pP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lang w:val="sq-AL"/>
              </w:rPr>
              <w:t xml:space="preserve">Përmbushje </w:t>
            </w:r>
            <w:r>
              <w:rPr>
                <w:rFonts w:ascii="Times New Roman" w:hAnsi="Times New Roman"/>
                <w:sz w:val="24"/>
                <w:szCs w:val="24"/>
              </w:rPr>
              <w:t xml:space="preserve"> e rekomandimeve të FATF-së</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 xml:space="preserve">Të ngrihet regjistri i llogarive bankare 3 muaj pas miratimit të ligjit. </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Të bëhet funksional deri në tetor 2021.</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Të bëhet i mundur aksesi i drejtëpërdrejtë i informacionit për Njësitë e Inteligjencës Financiare dhe Autoritetet Kombëtare Kompetente për Parandalimin e Pastrimit të Parave.</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Të përdoret si mjet për zbulimin, gjurmimin ose identifikimin e pasurive të dyshuara me origjinë nga veprimtari kriminale.</w:t>
            </w:r>
          </w:p>
          <w:p w:rsidR="000F5463" w:rsidRDefault="000F5463" w:rsidP="000F5463">
            <w:pPr>
              <w:pStyle w:val="ListParagraph"/>
              <w:numPr>
                <w:ilvl w:val="0"/>
                <w:numId w:val="38"/>
              </w:numPr>
              <w:rPr>
                <w:rFonts w:ascii="Times New Roman" w:hAnsi="Times New Roman"/>
                <w:sz w:val="24"/>
                <w:szCs w:val="24"/>
              </w:rPr>
            </w:pPr>
            <w:r>
              <w:rPr>
                <w:rFonts w:ascii="Times New Roman" w:hAnsi="Times New Roman"/>
                <w:sz w:val="24"/>
                <w:szCs w:val="24"/>
              </w:rPr>
              <w:t>Të përdoret në funksion të mbledhjes së detyrimeve tatimore.</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 xml:space="preserve"> Të arrihet plotësimi i kuadrit ligjor duke mundësuar</w:t>
            </w:r>
            <w:r>
              <w:rPr>
                <w:rFonts w:ascii="Times New Roman" w:hAnsi="Times New Roman"/>
                <w:sz w:val="24"/>
                <w:szCs w:val="24"/>
                <w:lang w:val="sq-AL"/>
              </w:rPr>
              <w:t xml:space="preserve"> rregullimin e të drejtave dhe detyrimeve për krijimin, përdorimin dhe funksionimin e regjistrit qendror të llogarive bankare dhe kasetave të sigurisë.</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lang w:val="sq-AL"/>
              </w:rPr>
              <w:t>Rritja e koordinimit midis institucioneve qendrore dhe Bankave, me qëllim përmiresimin e masave në kuadër të luftës kundër pastrimit të parave dhe terrorizmit.</w:t>
            </w:r>
          </w:p>
          <w:p w:rsidR="000F5463" w:rsidRDefault="000F5463" w:rsidP="000F5463">
            <w:pPr>
              <w:pStyle w:val="ListParagraph"/>
              <w:numPr>
                <w:ilvl w:val="0"/>
                <w:numId w:val="38"/>
              </w:numPr>
              <w:spacing w:line="276" w:lineRule="auto"/>
              <w:jc w:val="both"/>
              <w:rPr>
                <w:rFonts w:ascii="Times New Roman" w:hAnsi="Times New Roman"/>
                <w:sz w:val="24"/>
                <w:szCs w:val="24"/>
              </w:rPr>
            </w:pPr>
            <w:r>
              <w:rPr>
                <w:rFonts w:ascii="Times New Roman" w:hAnsi="Times New Roman"/>
                <w:sz w:val="24"/>
                <w:szCs w:val="24"/>
              </w:rPr>
              <w:t>Garantimin e harmonizimit dhe te qartesise se rregullave ligjore per personat/grupet e interesuara (duke miratuar nje ligj te posaçem per kete fushe</w:t>
            </w:r>
            <w:r>
              <w:t xml:space="preserve">).  </w:t>
            </w:r>
          </w:p>
          <w:p w:rsidR="001E0D36" w:rsidRPr="00325A1F" w:rsidRDefault="001E0D36" w:rsidP="001E0D36">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40EE" w:rsidRPr="00325A1F" w:rsidTr="007B6556">
        <w:tc>
          <w:tcPr>
            <w:tcW w:w="9715" w:type="dxa"/>
            <w:gridSpan w:val="2"/>
            <w:tcBorders>
              <w:top w:val="single" w:sz="4" w:space="0" w:color="000000"/>
              <w:left w:val="single" w:sz="4" w:space="0" w:color="000000"/>
              <w:bottom w:val="single" w:sz="4" w:space="0" w:color="000000"/>
              <w:right w:val="single" w:sz="4" w:space="0" w:color="000000"/>
            </w:tcBorders>
          </w:tcPr>
          <w:p w:rsidR="00CA40EE" w:rsidRDefault="008576E4" w:rsidP="007B6556">
            <w:pPr>
              <w:spacing w:line="276" w:lineRule="auto"/>
              <w:jc w:val="both"/>
              <w:rPr>
                <w:b/>
                <w:szCs w:val="24"/>
                <w:lang w:val="sq-AL"/>
              </w:rPr>
            </w:pPr>
            <w:r w:rsidRPr="00325A1F">
              <w:rPr>
                <w:b/>
                <w:szCs w:val="24"/>
                <w:lang w:val="sq-AL"/>
              </w:rPr>
              <w:t>OPSIONET E POLITIKAVE</w:t>
            </w:r>
          </w:p>
          <w:p w:rsidR="00AF65C3" w:rsidRPr="00325A1F" w:rsidRDefault="00AF65C3" w:rsidP="007B6556">
            <w:pPr>
              <w:spacing w:line="276" w:lineRule="auto"/>
              <w:jc w:val="both"/>
              <w:rPr>
                <w:b/>
                <w:szCs w:val="24"/>
                <w:lang w:val="sq-AL"/>
              </w:rPr>
            </w:pPr>
          </w:p>
          <w:p w:rsidR="00AF65C3" w:rsidRPr="00AF65C3" w:rsidRDefault="00AF65C3" w:rsidP="00AF65C3">
            <w:pPr>
              <w:spacing w:line="276" w:lineRule="auto"/>
              <w:jc w:val="both"/>
              <w:rPr>
                <w:szCs w:val="24"/>
              </w:rPr>
            </w:pPr>
            <w:r w:rsidRPr="00AF65C3">
              <w:rPr>
                <w:szCs w:val="24"/>
              </w:rPr>
              <w:t xml:space="preserve">Opsioni 0 (status quo): te vijohet me kuadrin ekzistues </w:t>
            </w:r>
          </w:p>
          <w:p w:rsidR="00AF65C3" w:rsidRPr="00AF65C3" w:rsidRDefault="00AF65C3" w:rsidP="00AF65C3">
            <w:pPr>
              <w:spacing w:line="276" w:lineRule="auto"/>
              <w:jc w:val="both"/>
              <w:rPr>
                <w:szCs w:val="24"/>
              </w:rPr>
            </w:pPr>
            <w:r w:rsidRPr="00AF65C3">
              <w:rPr>
                <w:szCs w:val="24"/>
              </w:rPr>
              <w:t xml:space="preserve">Opsioni 1: Hartimi i nje ligji te ri. </w:t>
            </w:r>
          </w:p>
          <w:p w:rsidR="001E0D36" w:rsidRPr="00325A1F" w:rsidRDefault="00AF65C3" w:rsidP="00F72B7C">
            <w:pPr>
              <w:jc w:val="both"/>
              <w:rPr>
                <w:lang w:val="sq-AL"/>
              </w:rPr>
            </w:pPr>
            <w:r w:rsidRPr="00AF65C3">
              <w:rPr>
                <w:szCs w:val="24"/>
              </w:rPr>
              <w:t>Opsioni nr. 2: Ndryshimi</w:t>
            </w:r>
            <w:r w:rsidR="00F72B7C">
              <w:rPr>
                <w:szCs w:val="24"/>
              </w:rPr>
              <w:t xml:space="preserve"> i ligjit </w:t>
            </w:r>
            <w:r w:rsidR="00F72B7C" w:rsidRPr="00F72B7C">
              <w:rPr>
                <w:szCs w:val="24"/>
              </w:rPr>
              <w:t>nr. 9920/2008</w:t>
            </w:r>
            <w:r w:rsidR="00F72B7C">
              <w:rPr>
                <w:szCs w:val="24"/>
              </w:rPr>
              <w:t xml:space="preserve"> “ P</w:t>
            </w:r>
            <w:r w:rsidR="008E63A7">
              <w:rPr>
                <w:szCs w:val="24"/>
              </w:rPr>
              <w:t>ë</w:t>
            </w:r>
            <w:r w:rsidR="00F72B7C">
              <w:rPr>
                <w:szCs w:val="24"/>
              </w:rPr>
              <w:t>r procedurat tatimore ne Republike</w:t>
            </w:r>
            <w:r w:rsidR="008E63A7">
              <w:rPr>
                <w:szCs w:val="24"/>
              </w:rPr>
              <w:t>ë</w:t>
            </w:r>
            <w:r w:rsidR="00F72B7C">
              <w:rPr>
                <w:szCs w:val="24"/>
              </w:rPr>
              <w:t>n e Shqip</w:t>
            </w:r>
            <w:r w:rsidR="008E63A7">
              <w:rPr>
                <w:szCs w:val="24"/>
              </w:rPr>
              <w:t>ë</w:t>
            </w:r>
            <w:r w:rsidR="00F72B7C">
              <w:rPr>
                <w:szCs w:val="24"/>
              </w:rPr>
              <w:t>ris</w:t>
            </w:r>
            <w:r w:rsidR="008E63A7">
              <w:rPr>
                <w:szCs w:val="24"/>
              </w:rPr>
              <w:t>ë</w:t>
            </w:r>
            <w:r w:rsidR="00F72B7C">
              <w:rPr>
                <w:szCs w:val="24"/>
              </w:rPr>
              <w:t xml:space="preserve">”. </w:t>
            </w:r>
            <w:r w:rsidR="00F72B7C">
              <w:t xml:space="preserve"> </w:t>
            </w:r>
          </w:p>
        </w:tc>
      </w:tr>
      <w:tr w:rsidR="00CA40EE" w:rsidRPr="00325A1F" w:rsidTr="007B6556">
        <w:tc>
          <w:tcPr>
            <w:tcW w:w="9715" w:type="dxa"/>
            <w:gridSpan w:val="2"/>
            <w:tcBorders>
              <w:top w:val="single" w:sz="4" w:space="0" w:color="000000"/>
              <w:left w:val="single" w:sz="4" w:space="0" w:color="000000"/>
              <w:bottom w:val="single" w:sz="4" w:space="0" w:color="000000"/>
              <w:right w:val="single" w:sz="4" w:space="0" w:color="000000"/>
            </w:tcBorders>
          </w:tcPr>
          <w:p w:rsidR="00CA40EE" w:rsidRPr="002462AA" w:rsidRDefault="00CA40EE" w:rsidP="007B6556">
            <w:pPr>
              <w:spacing w:line="276" w:lineRule="auto"/>
              <w:jc w:val="both"/>
              <w:rPr>
                <w:b/>
                <w:szCs w:val="24"/>
                <w:lang w:val="sq-AL"/>
              </w:rPr>
            </w:pPr>
            <w:r w:rsidRPr="002462AA">
              <w:rPr>
                <w:b/>
                <w:szCs w:val="24"/>
                <w:lang w:val="sq-AL"/>
              </w:rPr>
              <w:t>ANALIZA E NDIKIMEVE</w:t>
            </w:r>
          </w:p>
          <w:p w:rsidR="001E0D36" w:rsidRPr="002462AA" w:rsidRDefault="00AF65C3" w:rsidP="00CB4A3A">
            <w:pPr>
              <w:spacing w:line="276" w:lineRule="auto"/>
              <w:jc w:val="both"/>
              <w:rPr>
                <w:szCs w:val="24"/>
              </w:rPr>
            </w:pPr>
            <w:r w:rsidRPr="002462AA">
              <w:rPr>
                <w:szCs w:val="24"/>
              </w:rPr>
              <w:t xml:space="preserve">Opsioni </w:t>
            </w:r>
            <w:r w:rsidR="00CF553A">
              <w:rPr>
                <w:szCs w:val="24"/>
              </w:rPr>
              <w:t>i</w:t>
            </w:r>
            <w:r w:rsidR="00CF553A" w:rsidRPr="002462AA">
              <w:rPr>
                <w:szCs w:val="24"/>
              </w:rPr>
              <w:t xml:space="preserve"> </w:t>
            </w:r>
            <w:r w:rsidRPr="002462AA">
              <w:rPr>
                <w:szCs w:val="24"/>
              </w:rPr>
              <w:t xml:space="preserve">preferuar </w:t>
            </w:r>
            <w:r w:rsidR="002462AA">
              <w:rPr>
                <w:szCs w:val="24"/>
              </w:rPr>
              <w:t>ë</w:t>
            </w:r>
            <w:r w:rsidRPr="002462AA">
              <w:rPr>
                <w:szCs w:val="24"/>
              </w:rPr>
              <w:t>sht</w:t>
            </w:r>
            <w:r w:rsidR="002462AA">
              <w:rPr>
                <w:szCs w:val="24"/>
              </w:rPr>
              <w:t>ë</w:t>
            </w:r>
            <w:r w:rsidRPr="002462AA">
              <w:rPr>
                <w:szCs w:val="24"/>
              </w:rPr>
              <w:t xml:space="preserve"> opsioni nr. 1, </w:t>
            </w:r>
            <w:r w:rsidR="002462AA" w:rsidRPr="002462AA">
              <w:rPr>
                <w:szCs w:val="24"/>
              </w:rPr>
              <w:t xml:space="preserve">pasi </w:t>
            </w:r>
            <w:r w:rsidR="002462AA">
              <w:rPr>
                <w:szCs w:val="24"/>
              </w:rPr>
              <w:t>ë</w:t>
            </w:r>
            <w:r w:rsidR="002462AA" w:rsidRPr="002462AA">
              <w:rPr>
                <w:szCs w:val="24"/>
              </w:rPr>
              <w:t>sht</w:t>
            </w:r>
            <w:r w:rsidR="002462AA">
              <w:rPr>
                <w:szCs w:val="24"/>
              </w:rPr>
              <w:t>ë</w:t>
            </w:r>
            <w:r w:rsidR="002462AA" w:rsidRPr="002462AA">
              <w:rPr>
                <w:szCs w:val="24"/>
              </w:rPr>
              <w:t xml:space="preserve"> e vetmja mund</w:t>
            </w:r>
            <w:r w:rsidR="002462AA">
              <w:rPr>
                <w:szCs w:val="24"/>
              </w:rPr>
              <w:t>ë</w:t>
            </w:r>
            <w:r w:rsidR="002462AA" w:rsidRPr="002462AA">
              <w:rPr>
                <w:szCs w:val="24"/>
              </w:rPr>
              <w:t>si p</w:t>
            </w:r>
            <w:r w:rsidR="002462AA">
              <w:rPr>
                <w:szCs w:val="24"/>
              </w:rPr>
              <w:t>ë</w:t>
            </w:r>
            <w:r w:rsidR="002462AA" w:rsidRPr="002462AA">
              <w:rPr>
                <w:szCs w:val="24"/>
              </w:rPr>
              <w:t>r t</w:t>
            </w:r>
            <w:r w:rsidR="002462AA">
              <w:rPr>
                <w:szCs w:val="24"/>
              </w:rPr>
              <w:t>ë</w:t>
            </w:r>
            <w:r w:rsidR="002462AA" w:rsidRPr="002462AA">
              <w:rPr>
                <w:szCs w:val="24"/>
              </w:rPr>
              <w:t xml:space="preserve"> arritur objektivate vendosura. </w:t>
            </w:r>
            <w:r w:rsidR="002462AA" w:rsidRPr="00FC22E7">
              <w:rPr>
                <w:szCs w:val="24"/>
              </w:rPr>
              <w:t>Ky projektligj nuk do të shoqërohet me efekte pasi do të jetë pjesë e sitemit për shkëmbimin e informacionit</w:t>
            </w:r>
            <w:r w:rsidR="00CB4A3A" w:rsidRPr="00FC22E7">
              <w:rPr>
                <w:szCs w:val="24"/>
              </w:rPr>
              <w:t xml:space="preserve"> i cili </w:t>
            </w:r>
            <w:r w:rsidR="00FC22E7">
              <w:rPr>
                <w:szCs w:val="24"/>
              </w:rPr>
              <w:t>ë</w:t>
            </w:r>
            <w:r w:rsidR="00CB4A3A" w:rsidRPr="00FC22E7">
              <w:rPr>
                <w:szCs w:val="24"/>
              </w:rPr>
              <w:t>sht</w:t>
            </w:r>
            <w:r w:rsidR="00FC22E7">
              <w:rPr>
                <w:szCs w:val="24"/>
              </w:rPr>
              <w:t>ë</w:t>
            </w:r>
            <w:r w:rsidR="00CB4A3A" w:rsidRPr="00FC22E7">
              <w:rPr>
                <w:szCs w:val="24"/>
              </w:rPr>
              <w:t xml:space="preserve"> n</w:t>
            </w:r>
            <w:r w:rsidR="00FC22E7">
              <w:rPr>
                <w:szCs w:val="24"/>
              </w:rPr>
              <w:t>ë</w:t>
            </w:r>
            <w:r w:rsidR="00CB4A3A" w:rsidRPr="00FC22E7">
              <w:rPr>
                <w:szCs w:val="24"/>
              </w:rPr>
              <w:t xml:space="preserve"> process nd</w:t>
            </w:r>
            <w:r w:rsidR="00FC22E7">
              <w:rPr>
                <w:szCs w:val="24"/>
              </w:rPr>
              <w:t>ë</w:t>
            </w:r>
            <w:r w:rsidR="00CB4A3A" w:rsidRPr="00FC22E7">
              <w:rPr>
                <w:szCs w:val="24"/>
              </w:rPr>
              <w:t>rtimi nga AKSHI dhe do jet</w:t>
            </w:r>
            <w:r w:rsidR="00FC22E7">
              <w:rPr>
                <w:szCs w:val="24"/>
              </w:rPr>
              <w:t>ë</w:t>
            </w:r>
            <w:r w:rsidR="00CB4A3A" w:rsidRPr="00FC22E7">
              <w:rPr>
                <w:szCs w:val="24"/>
              </w:rPr>
              <w:t xml:space="preserve"> efektiv n</w:t>
            </w:r>
            <w:r w:rsidR="00FC22E7">
              <w:rPr>
                <w:szCs w:val="24"/>
              </w:rPr>
              <w:t>ë</w:t>
            </w:r>
            <w:r w:rsidR="00CB4A3A" w:rsidRPr="00FC22E7">
              <w:rPr>
                <w:szCs w:val="24"/>
              </w:rPr>
              <w:t xml:space="preserve"> 15 Shtator</w:t>
            </w:r>
            <w:r w:rsidR="002462AA" w:rsidRPr="00FC22E7">
              <w:rPr>
                <w:szCs w:val="24"/>
              </w:rPr>
              <w:t>.</w:t>
            </w:r>
            <w:r w:rsidR="00384F88" w:rsidRPr="00FC22E7">
              <w:rPr>
                <w:szCs w:val="24"/>
              </w:rPr>
              <w:t xml:space="preserve"> </w:t>
            </w:r>
            <w:r w:rsidR="00CB4A3A" w:rsidRPr="00FC22E7">
              <w:rPr>
                <w:szCs w:val="24"/>
              </w:rPr>
              <w:t>N</w:t>
            </w:r>
            <w:r w:rsidR="00FC22E7">
              <w:rPr>
                <w:szCs w:val="24"/>
              </w:rPr>
              <w:t>ë</w:t>
            </w:r>
            <w:r w:rsidR="00CB4A3A" w:rsidRPr="00FC22E7">
              <w:rPr>
                <w:szCs w:val="24"/>
              </w:rPr>
              <w:t>p</w:t>
            </w:r>
            <w:r w:rsidR="00FC22E7">
              <w:rPr>
                <w:szCs w:val="24"/>
              </w:rPr>
              <w:t>ë</w:t>
            </w:r>
            <w:r w:rsidR="00CB4A3A" w:rsidRPr="00FC22E7">
              <w:rPr>
                <w:szCs w:val="24"/>
              </w:rPr>
              <w:t>rmjet k</w:t>
            </w:r>
            <w:r w:rsidR="00FC22E7">
              <w:rPr>
                <w:szCs w:val="24"/>
              </w:rPr>
              <w:t>ë</w:t>
            </w:r>
            <w:r w:rsidR="00CB4A3A" w:rsidRPr="00FC22E7">
              <w:rPr>
                <w:szCs w:val="24"/>
              </w:rPr>
              <w:t>tij sistemi do t</w:t>
            </w:r>
            <w:r w:rsidR="00FC22E7">
              <w:rPr>
                <w:szCs w:val="24"/>
              </w:rPr>
              <w:t>ë</w:t>
            </w:r>
            <w:r w:rsidR="00CB4A3A" w:rsidRPr="00FC22E7">
              <w:rPr>
                <w:szCs w:val="24"/>
              </w:rPr>
              <w:t xml:space="preserve"> mund</w:t>
            </w:r>
            <w:r w:rsidR="00FC22E7">
              <w:rPr>
                <w:szCs w:val="24"/>
              </w:rPr>
              <w:t>ë</w:t>
            </w:r>
            <w:r w:rsidR="00CB4A3A" w:rsidRPr="00FC22E7">
              <w:rPr>
                <w:szCs w:val="24"/>
              </w:rPr>
              <w:t>sohet marrja e t</w:t>
            </w:r>
            <w:r w:rsidR="00FC22E7">
              <w:rPr>
                <w:szCs w:val="24"/>
              </w:rPr>
              <w:t>ë</w:t>
            </w:r>
            <w:r w:rsidR="00CB4A3A" w:rsidRPr="00FC22E7">
              <w:rPr>
                <w:szCs w:val="24"/>
              </w:rPr>
              <w:t xml:space="preserve"> dh</w:t>
            </w:r>
            <w:r w:rsidR="00FC22E7">
              <w:rPr>
                <w:szCs w:val="24"/>
              </w:rPr>
              <w:t>ë</w:t>
            </w:r>
            <w:r w:rsidR="00CB4A3A" w:rsidRPr="00FC22E7">
              <w:rPr>
                <w:szCs w:val="24"/>
              </w:rPr>
              <w:t>nave nga bankat e nivlaeti t</w:t>
            </w:r>
            <w:r w:rsidR="00FC22E7">
              <w:rPr>
                <w:szCs w:val="24"/>
              </w:rPr>
              <w:t>ë</w:t>
            </w:r>
            <w:r w:rsidR="00CB4A3A" w:rsidRPr="00FC22E7">
              <w:rPr>
                <w:szCs w:val="24"/>
              </w:rPr>
              <w:t xml:space="preserve"> dyt</w:t>
            </w:r>
            <w:r w:rsidR="00FC22E7">
              <w:rPr>
                <w:szCs w:val="24"/>
              </w:rPr>
              <w:t>ë</w:t>
            </w:r>
            <w:r w:rsidR="00CB4A3A" w:rsidRPr="00FC22E7">
              <w:rPr>
                <w:szCs w:val="24"/>
              </w:rPr>
              <w:t>, rregjistri I llogarive bankare q</w:t>
            </w:r>
            <w:r w:rsidR="00FC22E7">
              <w:rPr>
                <w:szCs w:val="24"/>
              </w:rPr>
              <w:t>ë</w:t>
            </w:r>
            <w:r w:rsidR="00CB4A3A" w:rsidRPr="00FC22E7">
              <w:rPr>
                <w:szCs w:val="24"/>
              </w:rPr>
              <w:t xml:space="preserve"> do t</w:t>
            </w:r>
            <w:r w:rsidR="00FC22E7">
              <w:rPr>
                <w:szCs w:val="24"/>
              </w:rPr>
              <w:t>ë</w:t>
            </w:r>
            <w:r w:rsidR="00CB4A3A" w:rsidRPr="00FC22E7">
              <w:rPr>
                <w:szCs w:val="24"/>
              </w:rPr>
              <w:t xml:space="preserve"> nd</w:t>
            </w:r>
            <w:r w:rsidR="00FC22E7">
              <w:rPr>
                <w:szCs w:val="24"/>
              </w:rPr>
              <w:t>ë</w:t>
            </w:r>
            <w:r w:rsidR="00CB4A3A" w:rsidRPr="00FC22E7">
              <w:rPr>
                <w:szCs w:val="24"/>
              </w:rPr>
              <w:t>rtohet do t</w:t>
            </w:r>
            <w:r w:rsidR="00FC22E7">
              <w:rPr>
                <w:szCs w:val="24"/>
              </w:rPr>
              <w:t>ë</w:t>
            </w:r>
            <w:r w:rsidR="00CB4A3A" w:rsidRPr="00FC22E7">
              <w:rPr>
                <w:szCs w:val="24"/>
              </w:rPr>
              <w:t xml:space="preserve"> ket</w:t>
            </w:r>
            <w:r w:rsidR="00FC22E7">
              <w:rPr>
                <w:szCs w:val="24"/>
              </w:rPr>
              <w:t>ë</w:t>
            </w:r>
            <w:r w:rsidR="00CB4A3A" w:rsidRPr="00FC22E7">
              <w:rPr>
                <w:szCs w:val="24"/>
              </w:rPr>
              <w:t xml:space="preserve"> si baz</w:t>
            </w:r>
            <w:r w:rsidR="00FC22E7">
              <w:rPr>
                <w:szCs w:val="24"/>
              </w:rPr>
              <w:t>ë</w:t>
            </w:r>
            <w:r w:rsidR="00CB4A3A" w:rsidRPr="00FC22E7">
              <w:rPr>
                <w:szCs w:val="24"/>
              </w:rPr>
              <w:t xml:space="preserve"> k</w:t>
            </w:r>
            <w:r w:rsidR="00FC22E7">
              <w:rPr>
                <w:szCs w:val="24"/>
              </w:rPr>
              <w:t>ë</w:t>
            </w:r>
            <w:r w:rsidR="00CB4A3A" w:rsidRPr="00FC22E7">
              <w:rPr>
                <w:szCs w:val="24"/>
              </w:rPr>
              <w:t>to t</w:t>
            </w:r>
            <w:r w:rsidR="00FC22E7">
              <w:rPr>
                <w:szCs w:val="24"/>
              </w:rPr>
              <w:t>ë</w:t>
            </w:r>
            <w:r w:rsidR="00CB4A3A" w:rsidRPr="00FC22E7">
              <w:rPr>
                <w:szCs w:val="24"/>
              </w:rPr>
              <w:t xml:space="preserve"> dh</w:t>
            </w:r>
            <w:r w:rsidR="00FC22E7">
              <w:rPr>
                <w:szCs w:val="24"/>
              </w:rPr>
              <w:t>ë</w:t>
            </w:r>
            <w:r w:rsidR="00CB4A3A" w:rsidRPr="00FC22E7">
              <w:rPr>
                <w:szCs w:val="24"/>
              </w:rPr>
              <w:t>na dhe disa t</w:t>
            </w:r>
            <w:r w:rsidR="00FC22E7">
              <w:rPr>
                <w:szCs w:val="24"/>
              </w:rPr>
              <w:t>ë</w:t>
            </w:r>
            <w:r w:rsidR="00CB4A3A" w:rsidRPr="00FC22E7">
              <w:rPr>
                <w:szCs w:val="24"/>
              </w:rPr>
              <w:t xml:space="preserve"> tjera shtes</w:t>
            </w:r>
            <w:r w:rsidR="00FC22E7">
              <w:rPr>
                <w:szCs w:val="24"/>
              </w:rPr>
              <w:t>ë</w:t>
            </w:r>
            <w:r w:rsidR="00CB4A3A" w:rsidRPr="00FC22E7">
              <w:rPr>
                <w:szCs w:val="24"/>
              </w:rPr>
              <w:t xml:space="preserve"> t</w:t>
            </w:r>
            <w:r w:rsidR="00FC22E7">
              <w:rPr>
                <w:szCs w:val="24"/>
              </w:rPr>
              <w:t>ë</w:t>
            </w:r>
            <w:r w:rsidR="00CB4A3A" w:rsidRPr="00FC22E7">
              <w:rPr>
                <w:szCs w:val="24"/>
              </w:rPr>
              <w:t xml:space="preserve"> cilat do t</w:t>
            </w:r>
            <w:r w:rsidR="00FC22E7">
              <w:rPr>
                <w:szCs w:val="24"/>
              </w:rPr>
              <w:t>ë</w:t>
            </w:r>
            <w:r w:rsidR="00CB4A3A" w:rsidRPr="00FC22E7">
              <w:rPr>
                <w:szCs w:val="24"/>
              </w:rPr>
              <w:t xml:space="preserve"> mund</w:t>
            </w:r>
            <w:r w:rsidR="00FC22E7">
              <w:rPr>
                <w:szCs w:val="24"/>
              </w:rPr>
              <w:t>ë</w:t>
            </w:r>
            <w:r w:rsidR="00CB4A3A" w:rsidRPr="00FC22E7">
              <w:rPr>
                <w:szCs w:val="24"/>
              </w:rPr>
              <w:t xml:space="preserve">sohen nga ky system. </w:t>
            </w:r>
            <w:r w:rsidR="00384F88">
              <w:rPr>
                <w:szCs w:val="24"/>
              </w:rPr>
              <w:t>Në këtë draft janë parashikuar edhe sanksione gjobash për shkelje të dispozitave të këtij ligji, por një përllogaritje se sa efekt mund te ketë mbi subjektet në këtë fazë është e pamundur të bëhet.</w:t>
            </w:r>
          </w:p>
        </w:tc>
      </w:tr>
      <w:tr w:rsidR="00CA40EE" w:rsidRPr="00325A1F" w:rsidTr="007B6556">
        <w:tc>
          <w:tcPr>
            <w:tcW w:w="971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7B6556">
            <w:pPr>
              <w:spacing w:line="276" w:lineRule="auto"/>
              <w:jc w:val="both"/>
              <w:rPr>
                <w:b/>
                <w:szCs w:val="24"/>
                <w:lang w:val="sq-AL"/>
              </w:rPr>
            </w:pPr>
            <w:r w:rsidRPr="00325A1F">
              <w:rPr>
                <w:b/>
                <w:szCs w:val="24"/>
                <w:lang w:val="sq-AL"/>
              </w:rPr>
              <w:t xml:space="preserve">ARSYETIMI I OPSIONIT TË PREFERUAR </w:t>
            </w:r>
          </w:p>
          <w:p w:rsidR="006B4B0D" w:rsidRDefault="006E7CFB" w:rsidP="00027038">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rsidR="00AF65C3" w:rsidRDefault="00AF65C3" w:rsidP="001E0D36">
            <w:pPr>
              <w:spacing w:line="276" w:lineRule="auto"/>
              <w:jc w:val="both"/>
              <w:rPr>
                <w:i/>
                <w:szCs w:val="24"/>
              </w:rPr>
            </w:pPr>
          </w:p>
          <w:p w:rsidR="001E0D36" w:rsidRPr="00AF65C3" w:rsidRDefault="00AF65C3" w:rsidP="001E0D36">
            <w:pPr>
              <w:spacing w:line="276" w:lineRule="auto"/>
              <w:jc w:val="both"/>
              <w:rPr>
                <w:szCs w:val="24"/>
              </w:rPr>
            </w:pPr>
            <w:r w:rsidRPr="00AF65C3">
              <w:rPr>
                <w:szCs w:val="24"/>
              </w:rPr>
              <w:t xml:space="preserve">Opsioni </w:t>
            </w:r>
            <w:r>
              <w:rPr>
                <w:szCs w:val="24"/>
              </w:rPr>
              <w:t>i</w:t>
            </w:r>
            <w:r w:rsidRPr="00AF65C3">
              <w:rPr>
                <w:szCs w:val="24"/>
              </w:rPr>
              <w:t xml:space="preserve"> preferuar </w:t>
            </w:r>
            <w:r w:rsidR="002462AA">
              <w:rPr>
                <w:szCs w:val="24"/>
              </w:rPr>
              <w:t>ë</w:t>
            </w:r>
            <w:r w:rsidRPr="00AF65C3">
              <w:rPr>
                <w:szCs w:val="24"/>
              </w:rPr>
              <w:t>sht</w:t>
            </w:r>
            <w:r w:rsidR="002462AA">
              <w:rPr>
                <w:szCs w:val="24"/>
              </w:rPr>
              <w:t>ë</w:t>
            </w:r>
            <w:r w:rsidRPr="00AF65C3">
              <w:rPr>
                <w:szCs w:val="24"/>
              </w:rPr>
              <w:t xml:space="preserve"> opsioni nr.1</w:t>
            </w:r>
            <w:r w:rsidRPr="00AF65C3">
              <w:t xml:space="preserve"> </w:t>
            </w:r>
            <w:r w:rsidRPr="00AF65C3">
              <w:rPr>
                <w:szCs w:val="24"/>
              </w:rPr>
              <w:t xml:space="preserve">Hartimi dhe miratimi i një ligji të ri specifik: Hartimi i një ligji të ri/ ligj specifik, është një mundësi për të përmbushur qëllimin për krijimin e një kuadri rregullator unifikues për ngritjen e regjistrit të llogarive bankare. Kjo, nisur nga fakti që ky është një proces që do të kryhet për herë të parë në Shqipëri, dhe si i tillë nuk ka pasur bazë ligjore për zbatimin e tij. Hartimi i një ligji të ri, meqenëse kemi të bëjmë me një procedure </w:t>
            </w:r>
            <w:r w:rsidRPr="00AF65C3">
              <w:rPr>
                <w:szCs w:val="24"/>
              </w:rPr>
              <w:lastRenderedPageBreak/>
              <w:t>krejtësisht të re, është një opsion për të bërë të mundur krijimin e regjistrit të llogarive bankare dhe më pas implementimin e tij në përputhje</w:t>
            </w:r>
            <w:r w:rsidR="00933288">
              <w:rPr>
                <w:szCs w:val="24"/>
              </w:rPr>
              <w:t xml:space="preserve"> dhe direktivat respektive të B</w:t>
            </w:r>
            <w:r w:rsidRPr="00AF65C3">
              <w:rPr>
                <w:szCs w:val="24"/>
              </w:rPr>
              <w:t>E në këtë fushë.</w:t>
            </w:r>
          </w:p>
          <w:p w:rsidR="00CA40EE" w:rsidRPr="00325A1F" w:rsidRDefault="00CA40EE" w:rsidP="007B6556">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rsidTr="006B4B0D">
              <w:tc>
                <w:tcPr>
                  <w:tcW w:w="2928" w:type="dxa"/>
                  <w:shd w:val="clear" w:color="auto" w:fill="D9D9D9" w:themeFill="background1" w:themeFillShade="D9"/>
                </w:tcPr>
                <w:p w:rsidR="00CA40EE" w:rsidRPr="00325A1F" w:rsidRDefault="00CA40EE" w:rsidP="0082213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1"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1"/>
                </w:p>
              </w:tc>
              <w:tc>
                <w:tcPr>
                  <w:tcW w:w="2928" w:type="dxa"/>
                  <w:shd w:val="clear" w:color="auto" w:fill="D9D9D9" w:themeFill="background1" w:themeFillShade="D9"/>
                </w:tcPr>
                <w:p w:rsidR="00CA40EE" w:rsidRPr="00325A1F" w:rsidRDefault="00CA40EE" w:rsidP="0082213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rsidR="00CA40EE" w:rsidRPr="00325A1F" w:rsidRDefault="00CA40EE" w:rsidP="0082213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rsidTr="00027038">
              <w:trPr>
                <w:trHeight w:val="350"/>
              </w:trPr>
              <w:tc>
                <w:tcPr>
                  <w:tcW w:w="2928" w:type="dxa"/>
                </w:tcPr>
                <w:p w:rsidR="00CA40EE" w:rsidRPr="00325A1F" w:rsidRDefault="0044034F" w:rsidP="00822132">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rsidR="00CA40EE" w:rsidRPr="00325A1F" w:rsidRDefault="0044034F" w:rsidP="00822132">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2"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2"/>
                </w:p>
              </w:tc>
              <w:tc>
                <w:tcPr>
                  <w:tcW w:w="2929" w:type="dxa"/>
                </w:tcPr>
                <w:p w:rsidR="00CA40EE" w:rsidRPr="00325A1F" w:rsidRDefault="001E0D36" w:rsidP="00822132">
                  <w:pPr>
                    <w:framePr w:hSpace="187" w:wrap="around" w:vAnchor="page" w:hAnchor="margin" w:y="1758"/>
                    <w:tabs>
                      <w:tab w:val="center" w:pos="1356"/>
                      <w:tab w:val="right" w:pos="2713"/>
                    </w:tabs>
                    <w:spacing w:line="276" w:lineRule="auto"/>
                    <w:suppressOverlap/>
                    <w:rPr>
                      <w:b/>
                      <w:szCs w:val="24"/>
                      <w:lang w:val="sq-AL"/>
                    </w:rPr>
                  </w:pPr>
                  <w:r>
                    <w:rPr>
                      <w:szCs w:val="24"/>
                    </w:rPr>
                    <w:tab/>
                  </w:r>
                  <w:r w:rsidR="0044034F" w:rsidRPr="0044034F">
                    <w:rPr>
                      <w:color w:val="808080" w:themeColor="background1" w:themeShade="80"/>
                      <w:szCs w:val="24"/>
                    </w:rPr>
                    <w:fldChar w:fldCharType="begin">
                      <w:ffData>
                        <w:name w:val="VleraViti3"/>
                        <w:enabled/>
                        <w:calcOnExit/>
                        <w:textInput>
                          <w:type w:val="number"/>
                          <w:default w:val="0"/>
                          <w:maxLength w:val="20"/>
                        </w:textInput>
                      </w:ffData>
                    </w:fldChar>
                  </w:r>
                  <w:bookmarkStart w:id="3" w:name="VleraViti3"/>
                  <w:r w:rsidR="0044034F" w:rsidRPr="0044034F">
                    <w:rPr>
                      <w:color w:val="808080" w:themeColor="background1" w:themeShade="80"/>
                      <w:szCs w:val="24"/>
                    </w:rPr>
                    <w:instrText xml:space="preserve"> FORMTEXT </w:instrText>
                  </w:r>
                  <w:r w:rsidR="0044034F" w:rsidRPr="0044034F">
                    <w:rPr>
                      <w:color w:val="808080" w:themeColor="background1" w:themeShade="80"/>
                      <w:szCs w:val="24"/>
                    </w:rPr>
                  </w:r>
                  <w:r w:rsidR="0044034F" w:rsidRPr="0044034F">
                    <w:rPr>
                      <w:color w:val="808080" w:themeColor="background1" w:themeShade="80"/>
                      <w:szCs w:val="24"/>
                    </w:rPr>
                    <w:fldChar w:fldCharType="separate"/>
                  </w:r>
                  <w:r w:rsidR="0044034F" w:rsidRPr="0044034F">
                    <w:rPr>
                      <w:noProof/>
                      <w:color w:val="808080" w:themeColor="background1" w:themeShade="80"/>
                      <w:szCs w:val="24"/>
                    </w:rPr>
                    <w:t>0</w:t>
                  </w:r>
                  <w:r w:rsidR="0044034F" w:rsidRPr="0044034F">
                    <w:rPr>
                      <w:color w:val="808080" w:themeColor="background1" w:themeShade="80"/>
                      <w:szCs w:val="24"/>
                    </w:rPr>
                    <w:fldChar w:fldCharType="end"/>
                  </w:r>
                  <w:bookmarkEnd w:id="3"/>
                  <w:r>
                    <w:rPr>
                      <w:szCs w:val="24"/>
                    </w:rPr>
                    <w:tab/>
                  </w:r>
                </w:p>
              </w:tc>
            </w:tr>
          </w:tbl>
          <w:p w:rsidR="00CA40EE" w:rsidRPr="00325A1F" w:rsidRDefault="00CA40EE" w:rsidP="007B6556">
            <w:pPr>
              <w:spacing w:line="276" w:lineRule="auto"/>
              <w:jc w:val="both"/>
              <w:rPr>
                <w:b/>
                <w:szCs w:val="24"/>
                <w:lang w:val="sq-AL"/>
              </w:rPr>
            </w:pPr>
          </w:p>
        </w:tc>
      </w:tr>
      <w:tr w:rsidR="00CA40EE" w:rsidRPr="004045D6" w:rsidTr="007B6556">
        <w:tc>
          <w:tcPr>
            <w:tcW w:w="971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7B6556">
            <w:pPr>
              <w:spacing w:line="276" w:lineRule="auto"/>
              <w:jc w:val="both"/>
              <w:rPr>
                <w:b/>
                <w:szCs w:val="24"/>
                <w:lang w:val="sq-AL"/>
              </w:rPr>
            </w:pPr>
            <w:r w:rsidRPr="00325A1F">
              <w:rPr>
                <w:b/>
                <w:szCs w:val="24"/>
                <w:lang w:val="sq-AL"/>
              </w:rPr>
              <w:lastRenderedPageBreak/>
              <w:t>KONSULTIMI</w:t>
            </w:r>
          </w:p>
          <w:p w:rsidR="00071110" w:rsidRDefault="001E0D36" w:rsidP="0002703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Pr>
                <w:i/>
                <w:noProof/>
                <w:szCs w:val="24"/>
              </w:rPr>
              <w:t>(jo më shumë se 5 rreshta)</w:t>
            </w:r>
            <w:r>
              <w:rPr>
                <w:i/>
                <w:szCs w:val="24"/>
              </w:rPr>
              <w:fldChar w:fldCharType="end"/>
            </w:r>
          </w:p>
          <w:p w:rsidR="001E0D36" w:rsidRPr="00AF65C3" w:rsidRDefault="00AF65C3" w:rsidP="008E63A7">
            <w:pPr>
              <w:spacing w:line="276" w:lineRule="auto"/>
              <w:jc w:val="both"/>
              <w:rPr>
                <w:szCs w:val="24"/>
                <w:lang w:val="sq-AL"/>
              </w:rPr>
            </w:pPr>
            <w:r w:rsidRPr="00AF65C3">
              <w:rPr>
                <w:szCs w:val="24"/>
              </w:rPr>
              <w:t xml:space="preserve">Drafti </w:t>
            </w:r>
            <w:r w:rsidR="002462AA">
              <w:rPr>
                <w:szCs w:val="24"/>
              </w:rPr>
              <w:t>ë</w:t>
            </w:r>
            <w:r w:rsidRPr="00AF65C3">
              <w:rPr>
                <w:szCs w:val="24"/>
              </w:rPr>
              <w:t>sht</w:t>
            </w:r>
            <w:r w:rsidR="002462AA">
              <w:rPr>
                <w:szCs w:val="24"/>
              </w:rPr>
              <w:t>ë</w:t>
            </w:r>
            <w:r w:rsidRPr="00AF65C3">
              <w:rPr>
                <w:szCs w:val="24"/>
              </w:rPr>
              <w:t xml:space="preserve"> hedhur p</w:t>
            </w:r>
            <w:r w:rsidR="002462AA">
              <w:rPr>
                <w:szCs w:val="24"/>
              </w:rPr>
              <w:t>ë</w:t>
            </w:r>
            <w:r w:rsidR="008E7E39">
              <w:rPr>
                <w:szCs w:val="24"/>
              </w:rPr>
              <w:t>r konsultim publik</w:t>
            </w:r>
            <w:r w:rsidRPr="00AF65C3">
              <w:rPr>
                <w:szCs w:val="24"/>
              </w:rPr>
              <w:t xml:space="preserve"> n</w:t>
            </w:r>
            <w:r w:rsidR="002462AA">
              <w:rPr>
                <w:szCs w:val="24"/>
              </w:rPr>
              <w:t>ë</w:t>
            </w:r>
            <w:r w:rsidRPr="00AF65C3">
              <w:rPr>
                <w:szCs w:val="24"/>
              </w:rPr>
              <w:t xml:space="preserve"> R</w:t>
            </w:r>
            <w:r w:rsidR="008E63A7">
              <w:rPr>
                <w:szCs w:val="24"/>
              </w:rPr>
              <w:t xml:space="preserve">egjistrin </w:t>
            </w:r>
            <w:r w:rsidRPr="00AF65C3">
              <w:rPr>
                <w:szCs w:val="24"/>
              </w:rPr>
              <w:t>E</w:t>
            </w:r>
            <w:r w:rsidR="008E63A7">
              <w:rPr>
                <w:szCs w:val="24"/>
              </w:rPr>
              <w:t xml:space="preserve">elektronik të </w:t>
            </w:r>
            <w:r w:rsidRPr="00AF65C3">
              <w:rPr>
                <w:szCs w:val="24"/>
              </w:rPr>
              <w:t>N</w:t>
            </w:r>
            <w:r w:rsidR="008E63A7">
              <w:rPr>
                <w:szCs w:val="24"/>
              </w:rPr>
              <w:t xml:space="preserve">joftimeve dhe </w:t>
            </w:r>
            <w:r w:rsidRPr="00AF65C3">
              <w:rPr>
                <w:szCs w:val="24"/>
              </w:rPr>
              <w:t>K</w:t>
            </w:r>
            <w:r w:rsidR="008E63A7">
              <w:rPr>
                <w:szCs w:val="24"/>
              </w:rPr>
              <w:t>onsultimit Publik</w:t>
            </w:r>
            <w:r>
              <w:rPr>
                <w:szCs w:val="24"/>
              </w:rPr>
              <w:t xml:space="preserve"> dhe pritet t</w:t>
            </w:r>
            <w:r w:rsidR="002462AA">
              <w:rPr>
                <w:szCs w:val="24"/>
              </w:rPr>
              <w:t>ë</w:t>
            </w:r>
            <w:r>
              <w:rPr>
                <w:szCs w:val="24"/>
              </w:rPr>
              <w:t xml:space="preserve"> merr</w:t>
            </w:r>
            <w:r w:rsidR="002462AA">
              <w:rPr>
                <w:szCs w:val="24"/>
              </w:rPr>
              <w:t>ë</w:t>
            </w:r>
            <w:r>
              <w:rPr>
                <w:szCs w:val="24"/>
              </w:rPr>
              <w:t>t nj</w:t>
            </w:r>
            <w:r w:rsidR="002462AA">
              <w:rPr>
                <w:szCs w:val="24"/>
              </w:rPr>
              <w:t>ë</w:t>
            </w:r>
            <w:r>
              <w:rPr>
                <w:szCs w:val="24"/>
              </w:rPr>
              <w:t xml:space="preserve"> </w:t>
            </w:r>
            <w:r w:rsidR="0032750A">
              <w:rPr>
                <w:szCs w:val="24"/>
              </w:rPr>
              <w:t xml:space="preserve">komente/sugjerime </w:t>
            </w:r>
            <w:r>
              <w:rPr>
                <w:szCs w:val="24"/>
              </w:rPr>
              <w:t>prej pal</w:t>
            </w:r>
            <w:r w:rsidR="002462AA">
              <w:rPr>
                <w:szCs w:val="24"/>
              </w:rPr>
              <w:t>ë</w:t>
            </w:r>
            <w:r>
              <w:rPr>
                <w:szCs w:val="24"/>
              </w:rPr>
              <w:t>v</w:t>
            </w:r>
            <w:r w:rsidR="002462AA">
              <w:rPr>
                <w:szCs w:val="24"/>
              </w:rPr>
              <w:t>ë</w:t>
            </w:r>
            <w:r>
              <w:rPr>
                <w:szCs w:val="24"/>
              </w:rPr>
              <w:t xml:space="preserve"> t</w:t>
            </w:r>
            <w:r w:rsidR="002462AA">
              <w:rPr>
                <w:szCs w:val="24"/>
              </w:rPr>
              <w:t>ë</w:t>
            </w:r>
            <w:r>
              <w:rPr>
                <w:szCs w:val="24"/>
              </w:rPr>
              <w:t xml:space="preserve"> interesuara</w:t>
            </w:r>
            <w:r w:rsidRPr="00AF65C3">
              <w:rPr>
                <w:szCs w:val="24"/>
              </w:rPr>
              <w:t>. Gjithashtu</w:t>
            </w:r>
            <w:r w:rsidR="00933288">
              <w:rPr>
                <w:szCs w:val="24"/>
              </w:rPr>
              <w:t xml:space="preserve"> në</w:t>
            </w:r>
            <w:r>
              <w:rPr>
                <w:szCs w:val="24"/>
              </w:rPr>
              <w:t xml:space="preserve"> </w:t>
            </w:r>
            <w:r w:rsidRPr="00AF65C3">
              <w:rPr>
                <w:szCs w:val="24"/>
              </w:rPr>
              <w:t>kuadër të analizimit dhe shqyrtimit të situatës mbi ngritjen e regjistrit të llogarive bankare, grupi teknik i punës me datën 13.05.2020, kërkoi takim me përfaqësues të Shoqatës së Bankave, Bankës së Shqipërisë, Komisionerit për të drejtën për informim dhe mbrojtjen e të dhënave personale dhe Agjencisë Kombëtare të Shoqërisë së Informacionit (AKSHI)</w:t>
            </w:r>
            <w:r w:rsidR="000F66C9">
              <w:rPr>
                <w:szCs w:val="24"/>
              </w:rPr>
              <w:t>,komentet dhe sugjerimet e t</w:t>
            </w:r>
            <w:r w:rsidR="008E63A7">
              <w:rPr>
                <w:szCs w:val="24"/>
              </w:rPr>
              <w:t>ë</w:t>
            </w:r>
            <w:r w:rsidR="000F66C9">
              <w:rPr>
                <w:szCs w:val="24"/>
              </w:rPr>
              <w:t xml:space="preserve"> cil</w:t>
            </w:r>
            <w:r w:rsidR="008E63A7">
              <w:rPr>
                <w:szCs w:val="24"/>
              </w:rPr>
              <w:t>ë</w:t>
            </w:r>
            <w:r w:rsidR="000F66C9">
              <w:rPr>
                <w:szCs w:val="24"/>
              </w:rPr>
              <w:t>ve u pasqyruan n</w:t>
            </w:r>
            <w:r w:rsidR="008E63A7">
              <w:rPr>
                <w:szCs w:val="24"/>
              </w:rPr>
              <w:t>ë</w:t>
            </w:r>
            <w:r w:rsidR="000F66C9">
              <w:rPr>
                <w:szCs w:val="24"/>
              </w:rPr>
              <w:t xml:space="preserve"> draftligj.</w:t>
            </w:r>
          </w:p>
        </w:tc>
      </w:tr>
      <w:tr w:rsidR="00CA40EE" w:rsidRPr="00325A1F" w:rsidTr="007B6556">
        <w:tc>
          <w:tcPr>
            <w:tcW w:w="9715" w:type="dxa"/>
            <w:gridSpan w:val="2"/>
            <w:tcBorders>
              <w:top w:val="single" w:sz="4" w:space="0" w:color="000000"/>
              <w:left w:val="single" w:sz="4" w:space="0" w:color="000000"/>
              <w:bottom w:val="single" w:sz="4" w:space="0" w:color="000000"/>
              <w:right w:val="single" w:sz="4" w:space="0" w:color="000000"/>
            </w:tcBorders>
          </w:tcPr>
          <w:p w:rsidR="00CA40EE" w:rsidRPr="00325A1F" w:rsidRDefault="00CA40EE" w:rsidP="007B6556">
            <w:pPr>
              <w:spacing w:line="276" w:lineRule="auto"/>
              <w:jc w:val="both"/>
              <w:rPr>
                <w:b/>
                <w:szCs w:val="24"/>
                <w:lang w:val="sq-AL"/>
              </w:rPr>
            </w:pPr>
            <w:r w:rsidRPr="00325A1F">
              <w:rPr>
                <w:b/>
                <w:szCs w:val="24"/>
                <w:lang w:val="sq-AL"/>
              </w:rPr>
              <w:t>ZBATIMI DHE MONITORIMI</w:t>
            </w:r>
          </w:p>
          <w:p w:rsidR="008576E4" w:rsidRDefault="00CC4D9E" w:rsidP="00027038">
            <w:pPr>
              <w:spacing w:line="276" w:lineRule="auto"/>
              <w:jc w:val="both"/>
              <w:rPr>
                <w:i/>
                <w:szCs w:val="24"/>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Pr>
                <w:i/>
                <w:szCs w:val="24"/>
              </w:rPr>
              <w:instrText xml:space="preserve"> FORMTEXT </w:instrText>
            </w:r>
            <w:r>
              <w:rPr>
                <w:i/>
                <w:szCs w:val="24"/>
              </w:rPr>
            </w:r>
            <w:r>
              <w:rPr>
                <w:i/>
                <w:szCs w:val="24"/>
              </w:rPr>
              <w:fldChar w:fldCharType="separate"/>
            </w:r>
            <w:r>
              <w:rPr>
                <w:i/>
                <w:noProof/>
                <w:szCs w:val="24"/>
              </w:rPr>
              <w:t>Si do të organizohen zbatimi dhe monitorimi?(jo më shumë se 5 rreshta)</w:t>
            </w:r>
            <w:r>
              <w:rPr>
                <w:i/>
                <w:szCs w:val="24"/>
              </w:rPr>
              <w:fldChar w:fldCharType="end"/>
            </w:r>
            <w:bookmarkEnd w:id="4"/>
          </w:p>
          <w:p w:rsidR="00CC4D9E" w:rsidRDefault="00AF65C3" w:rsidP="00306401">
            <w:pPr>
              <w:spacing w:line="276" w:lineRule="auto"/>
              <w:jc w:val="both"/>
              <w:rPr>
                <w:szCs w:val="24"/>
              </w:rPr>
            </w:pPr>
            <w:r w:rsidRPr="00AF65C3">
              <w:rPr>
                <w:szCs w:val="24"/>
              </w:rPr>
              <w:t>Ngarkohet p</w:t>
            </w:r>
            <w:r w:rsidR="002462AA">
              <w:rPr>
                <w:szCs w:val="24"/>
              </w:rPr>
              <w:t>ë</w:t>
            </w:r>
            <w:r w:rsidRPr="00AF65C3">
              <w:rPr>
                <w:szCs w:val="24"/>
              </w:rPr>
              <w:t>r zbatimin e k</w:t>
            </w:r>
            <w:r w:rsidR="002462AA">
              <w:rPr>
                <w:szCs w:val="24"/>
              </w:rPr>
              <w:t>ë</w:t>
            </w:r>
            <w:r w:rsidRPr="00AF65C3">
              <w:rPr>
                <w:szCs w:val="24"/>
              </w:rPr>
              <w:t>tij projektligji Ministria e Financave dhe Ekonomis</w:t>
            </w:r>
            <w:r w:rsidR="002462AA">
              <w:rPr>
                <w:szCs w:val="24"/>
              </w:rPr>
              <w:t>ë</w:t>
            </w:r>
            <w:r w:rsidRPr="00AF65C3">
              <w:rPr>
                <w:szCs w:val="24"/>
              </w:rPr>
              <w:t>, Drejtori</w:t>
            </w:r>
            <w:r w:rsidR="00384F88">
              <w:rPr>
                <w:szCs w:val="24"/>
              </w:rPr>
              <w:t>a</w:t>
            </w:r>
            <w:r w:rsidRPr="00AF65C3">
              <w:rPr>
                <w:szCs w:val="24"/>
              </w:rPr>
              <w:t xml:space="preserve"> </w:t>
            </w:r>
            <w:r w:rsidR="00384F88">
              <w:rPr>
                <w:szCs w:val="24"/>
              </w:rPr>
              <w:t xml:space="preserve">e </w:t>
            </w:r>
            <w:r w:rsidRPr="00AF65C3">
              <w:rPr>
                <w:szCs w:val="24"/>
              </w:rPr>
              <w:t>P</w:t>
            </w:r>
            <w:r w:rsidR="002462AA">
              <w:rPr>
                <w:szCs w:val="24"/>
              </w:rPr>
              <w:t>ë</w:t>
            </w:r>
            <w:r w:rsidRPr="00AF65C3">
              <w:rPr>
                <w:szCs w:val="24"/>
              </w:rPr>
              <w:t xml:space="preserve">rgjithshme </w:t>
            </w:r>
            <w:r w:rsidR="00384F88">
              <w:rPr>
                <w:szCs w:val="24"/>
              </w:rPr>
              <w:t>e</w:t>
            </w:r>
            <w:r w:rsidRPr="00AF65C3">
              <w:rPr>
                <w:szCs w:val="24"/>
              </w:rPr>
              <w:t xml:space="preserve"> Tatimeve, AKSHI, Institucionet Financiare</w:t>
            </w:r>
            <w:r w:rsidR="00306401">
              <w:rPr>
                <w:szCs w:val="24"/>
              </w:rPr>
              <w:t>.</w:t>
            </w:r>
          </w:p>
          <w:p w:rsidR="00306401" w:rsidRPr="00AF65C3" w:rsidRDefault="00306401" w:rsidP="00306401">
            <w:pPr>
              <w:spacing w:line="276" w:lineRule="auto"/>
              <w:jc w:val="both"/>
              <w:rPr>
                <w:szCs w:val="24"/>
                <w:lang w:val="sq-AL"/>
              </w:rPr>
            </w:pPr>
          </w:p>
        </w:tc>
      </w:tr>
    </w:tbl>
    <w:p w:rsidR="00C133FC" w:rsidRDefault="00C133FC" w:rsidP="009D13F4">
      <w:pPr>
        <w:pStyle w:val="Heading1"/>
        <w:spacing w:line="276" w:lineRule="auto"/>
        <w:rPr>
          <w:rFonts w:ascii="Times New Roman" w:hAnsi="Times New Roman" w:cs="Times New Roman"/>
          <w:sz w:val="24"/>
          <w:szCs w:val="24"/>
          <w:lang w:val="sq-AL"/>
        </w:rPr>
      </w:pPr>
      <w:bookmarkStart w:id="5" w:name="_Toc506919731"/>
    </w:p>
    <w:p w:rsidR="002D345C" w:rsidRDefault="002D345C" w:rsidP="002D345C">
      <w:pPr>
        <w:rPr>
          <w:lang w:val="sq-AL"/>
        </w:rPr>
      </w:pPr>
    </w:p>
    <w:p w:rsidR="002D345C" w:rsidRDefault="002D345C" w:rsidP="002D345C">
      <w:pPr>
        <w:rPr>
          <w:lang w:val="sq-AL"/>
        </w:rPr>
      </w:pPr>
    </w:p>
    <w:p w:rsidR="002D345C" w:rsidRDefault="002D345C" w:rsidP="002D345C">
      <w:pPr>
        <w:rPr>
          <w:lang w:val="sq-AL"/>
        </w:rPr>
      </w:pPr>
    </w:p>
    <w:p w:rsidR="00306401" w:rsidRDefault="00306401" w:rsidP="002D345C">
      <w:pPr>
        <w:rPr>
          <w:lang w:val="sq-AL"/>
        </w:rPr>
      </w:pPr>
    </w:p>
    <w:p w:rsidR="008E7E39" w:rsidRDefault="008E7E39" w:rsidP="002D345C">
      <w:pPr>
        <w:rPr>
          <w:lang w:val="sq-AL"/>
        </w:rPr>
      </w:pPr>
    </w:p>
    <w:p w:rsidR="008E7E39" w:rsidRDefault="008E7E39" w:rsidP="002D345C">
      <w:pPr>
        <w:rPr>
          <w:lang w:val="sq-AL"/>
        </w:rPr>
      </w:pPr>
    </w:p>
    <w:p w:rsidR="008E7E39" w:rsidRPr="002D345C" w:rsidRDefault="008E7E39" w:rsidP="002D345C">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C75E3"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FC" w:rsidRPr="009C75E3" w:rsidRDefault="00C133FC" w:rsidP="00C133FC">
            <w:pPr>
              <w:jc w:val="both"/>
              <w:rPr>
                <w:b/>
                <w:lang w:val="sq-AL"/>
              </w:rPr>
            </w:pPr>
            <w:r w:rsidRPr="009C75E3">
              <w:rPr>
                <w:b/>
                <w:lang w:val="sq-AL"/>
              </w:rPr>
              <w:t xml:space="preserve">PJESA 2: BAZA KRYESORE E ANALIZËS DHE E PROVAVE </w:t>
            </w:r>
          </w:p>
        </w:tc>
      </w:tr>
    </w:tbl>
    <w:p w:rsidR="00C133FC" w:rsidRPr="00C133FC" w:rsidRDefault="00C133FC" w:rsidP="00B17990">
      <w:pPr>
        <w:rPr>
          <w:lang w:val="sq-AL"/>
        </w:rPr>
      </w:pPr>
    </w:p>
    <w:p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5"/>
    </w:p>
    <w:sdt>
      <w:sdtPr>
        <w:rPr>
          <w:i/>
          <w:szCs w:val="24"/>
          <w:lang w:val="sq-AL"/>
        </w:rPr>
        <w:id w:val="-1879696236"/>
        <w:lock w:val="contentLocked"/>
        <w:placeholder>
          <w:docPart w:val="DefaultPlaceholder_-1854013440"/>
        </w:placeholder>
      </w:sdtPr>
      <w:sdtEndPr/>
      <w:sdtContent>
        <w:p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sdt>
      <w:sdtPr>
        <w:rPr>
          <w:lang w:val="sq-AL"/>
        </w:rPr>
        <w:id w:val="1083723407"/>
        <w:placeholder>
          <w:docPart w:val="DefaultPlaceholder_1081868574"/>
        </w:placeholder>
      </w:sdtPr>
      <w:sdtEndPr/>
      <w:sdtContent>
        <w:p w:rsidR="00123ABA" w:rsidRDefault="007A17DF" w:rsidP="00CF2ADA">
          <w:pPr>
            <w:spacing w:before="240"/>
            <w:jc w:val="both"/>
            <w:rPr>
              <w:szCs w:val="24"/>
              <w:lang w:val="sq-AL"/>
            </w:rPr>
          </w:pPr>
          <w:r w:rsidRPr="00E77A3F">
            <w:rPr>
              <w:szCs w:val="24"/>
              <w:lang w:val="sq-AL"/>
            </w:rPr>
            <w:t xml:space="preserve">Task Forca Financiare (FATF) e MONEYVAL, organ ndër-qeveritar i pavarur i Këshillit Evropian, i cili zhvillon dhe promovon politika për të mbrojtur sistemin financiar global kundër pastrimit të parave, financimit të terrorizmit dhe financimit të përhapjes së armëve dhe shkatërrimit në masë, duke vlerësuar zbatimin e standardeve në Shqipëri, e përfshiu </w:t>
          </w:r>
          <w:r w:rsidR="005936A3">
            <w:rPr>
              <w:szCs w:val="24"/>
              <w:lang w:val="sq-AL"/>
            </w:rPr>
            <w:t>Shqip</w:t>
          </w:r>
          <w:r w:rsidR="008E63A7">
            <w:rPr>
              <w:szCs w:val="24"/>
              <w:lang w:val="sq-AL"/>
            </w:rPr>
            <w:t>ë</w:t>
          </w:r>
          <w:r w:rsidR="005936A3">
            <w:rPr>
              <w:szCs w:val="24"/>
              <w:lang w:val="sq-AL"/>
            </w:rPr>
            <w:t>rin</w:t>
          </w:r>
          <w:r w:rsidR="008E63A7">
            <w:rPr>
              <w:szCs w:val="24"/>
              <w:lang w:val="sq-AL"/>
            </w:rPr>
            <w:t>ë</w:t>
          </w:r>
          <w:r w:rsidR="005936A3">
            <w:rPr>
              <w:szCs w:val="24"/>
              <w:lang w:val="sq-AL"/>
            </w:rPr>
            <w:t xml:space="preserve"> </w:t>
          </w:r>
          <w:r w:rsidRPr="00E77A3F">
            <w:rPr>
              <w:szCs w:val="24"/>
              <w:lang w:val="sq-AL"/>
            </w:rPr>
            <w:t>në listën gri të pastrimit të parave. Duke marrë parasysh mangësitë strategjike si dhe vakumin ligjor për parandalimin e pastrimit te parave në Shqipëri, vlerësoi se një aktivitet i tillë përbën rrezik te lartë dhe duhet të jenë nën monitorim të shtuar.</w:t>
          </w:r>
          <w:r>
            <w:rPr>
              <w:szCs w:val="24"/>
              <w:lang w:val="sq-AL"/>
            </w:rPr>
            <w:t xml:space="preserve"> </w:t>
          </w:r>
          <w:r w:rsidRPr="00E77A3F">
            <w:rPr>
              <w:szCs w:val="24"/>
              <w:lang w:val="sq-AL"/>
            </w:rPr>
            <w:t xml:space="preserve">Sipas raportit, Shqipëria paraqet vullnet për ta adresuar problemin, duke punuar me FATF dhe MONEYVAL për të përmirësuar dhe forcuar strategjitë si dhe efektivitetin në luftën kundër pastrimit të parave dhe financimit të terrorizmit. </w:t>
          </w:r>
          <w:r>
            <w:rPr>
              <w:szCs w:val="24"/>
              <w:lang w:val="sq-AL"/>
            </w:rPr>
            <w:t xml:space="preserve"> </w:t>
          </w:r>
          <w:r w:rsidRPr="00E77A3F">
            <w:rPr>
              <w:szCs w:val="24"/>
              <w:lang w:val="sq-AL"/>
            </w:rPr>
            <w:t xml:space="preserve">Sipas Rekomandimeve të FATF për “Standardet Ndërkombëtare për luftën kundër pastrimit të parave dhe financimin e terrorizmit”, shtetet duhet të sigurojnë që autoritetet kompetente përkatëse të kenë mekanizma efektivë që mundësojnë bashkëpunimin e tyre dhe të koordinojë </w:t>
          </w:r>
          <w:r w:rsidRPr="00E77A3F">
            <w:rPr>
              <w:szCs w:val="24"/>
              <w:lang w:val="sq-AL"/>
            </w:rPr>
            <w:lastRenderedPageBreak/>
            <w:t>e shkëmbejë informacione brenda vendit, atëherë kur është e nevojshme, në lidhje me zbatimin e politikave dhe aktiviteteve për te luftuar pastrimin e parave, financimin e terrorizmit dhe armëve të shkatërrimit në masë.</w:t>
          </w:r>
          <w:r>
            <w:rPr>
              <w:szCs w:val="24"/>
              <w:lang w:val="sq-AL"/>
            </w:rPr>
            <w:t xml:space="preserve"> </w:t>
          </w:r>
        </w:p>
        <w:p w:rsidR="00123ABA" w:rsidRPr="00384F88" w:rsidRDefault="00123ABA" w:rsidP="00123ABA">
          <w:pPr>
            <w:jc w:val="both"/>
            <w:rPr>
              <w:szCs w:val="24"/>
              <w:lang w:val="sq-AL"/>
            </w:rPr>
          </w:pPr>
          <w:r w:rsidRPr="00384F88">
            <w:rPr>
              <w:szCs w:val="24"/>
              <w:lang w:val="sq-AL"/>
            </w:rPr>
            <w:t xml:space="preserve">Gjithashtu, në veçanti, në raportin e vlerësimit të Shqipërisë nga FATF, në analizën e përputhshmërisë me Rekomandimin 24, u vlerësua se ekziston mungesë e mekanizmave në vend që të identifikojnë dhe përshkruajnë proceset për marrjen dhe regjistrimin e informacionit për pronarët përfitues si dhe mungesa e detyrimit të organeve ligjore për të mbajtur informacion bazë dhe një regjistër përkatës.  </w:t>
          </w:r>
        </w:p>
        <w:p w:rsidR="00123ABA" w:rsidRPr="00384F88" w:rsidRDefault="00123ABA" w:rsidP="0012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sq-AL"/>
            </w:rPr>
          </w:pPr>
          <w:r w:rsidRPr="00384F88">
            <w:rPr>
              <w:szCs w:val="24"/>
              <w:lang w:val="sq-AL"/>
            </w:rPr>
            <w:t xml:space="preserve">Në Forumin Ministror BE-Ballkan Perëndimor për Drejtësinë dhe Çështjet e Brendshme në Tiranë, në datë 5 Tetor  2018, përfaqësuesit e BE-së dhe të Partnerëve të Ballkanit Perëndimor nënshkruan </w:t>
          </w:r>
          <w:r w:rsidRPr="00384F88">
            <w:rPr>
              <w:i/>
              <w:szCs w:val="24"/>
              <w:lang w:val="sq-AL"/>
            </w:rPr>
            <w:t>Planin e Përbashkët të Veprimit për Anti-Terrorizmin për Ballkanin Perëndimo</w:t>
          </w:r>
          <w:r w:rsidR="00F72B7C">
            <w:rPr>
              <w:i/>
              <w:szCs w:val="24"/>
              <w:lang w:val="sq-AL"/>
            </w:rPr>
            <w:t>r</w:t>
          </w:r>
          <w:r w:rsidRPr="00384F88">
            <w:rPr>
              <w:vertAlign w:val="superscript"/>
              <w:lang w:val="sq-AL"/>
            </w:rPr>
            <w:footnoteReference w:id="1"/>
          </w:r>
          <w:r w:rsidRPr="00384F88">
            <w:rPr>
              <w:szCs w:val="24"/>
              <w:lang w:val="sq-AL"/>
            </w:rPr>
            <w:t>.</w:t>
          </w:r>
          <w:r w:rsidR="00DD5F52" w:rsidRPr="00384F88">
            <w:rPr>
              <w:szCs w:val="24"/>
              <w:lang w:val="sq-AL"/>
            </w:rPr>
            <w:t xml:space="preserve"> </w:t>
          </w:r>
          <w:r w:rsidRPr="00384F88">
            <w:rPr>
              <w:szCs w:val="24"/>
              <w:lang w:val="sq-AL"/>
            </w:rPr>
            <w:t>Sipas objektivit 4 të Planit të Përbashkët të Veprimit</w:t>
          </w:r>
          <w:r w:rsidRPr="00384F88">
            <w:rPr>
              <w:vertAlign w:val="superscript"/>
              <w:lang w:val="sq-AL"/>
            </w:rPr>
            <w:footnoteReference w:id="2"/>
          </w:r>
          <w:r w:rsidRPr="00384F88">
            <w:rPr>
              <w:szCs w:val="24"/>
              <w:lang w:val="sq-AL"/>
            </w:rPr>
            <w:t>, Shqipëria ka marrë përsipër harmonizimin e plotë me Direktivat e BE kundër pastrimit të parave, brenda periudhës 2020-2021, përfshirë ngritjen e një regjistri qendror të llogarive bankare.</w:t>
          </w:r>
          <w:r w:rsidR="00DD5F52" w:rsidRPr="00384F88">
            <w:rPr>
              <w:szCs w:val="24"/>
              <w:lang w:val="sq-AL"/>
            </w:rPr>
            <w:t xml:space="preserve"> </w:t>
          </w:r>
          <w:r w:rsidRPr="00384F88">
            <w:rPr>
              <w:i/>
              <w:szCs w:val="24"/>
              <w:lang w:val="sq-AL"/>
            </w:rPr>
            <w:t>Neni 32a i Direktivës nr. 849/2015 (Direktiva 4) ndryshuar nga 843/2018 (Direktiva 5) të BE “Mbi parandalimin e përdorimit të sistemit financiar për qëllime të pastrimit të parave dhe financimit të terrorizmit”</w:t>
          </w:r>
          <w:r w:rsidRPr="00384F88">
            <w:rPr>
              <w:szCs w:val="24"/>
              <w:lang w:val="sq-AL"/>
            </w:rPr>
            <w:t xml:space="preserve"> kërkon ngritjen e </w:t>
          </w:r>
          <w:r w:rsidRPr="00384F88">
            <w:rPr>
              <w:i/>
              <w:szCs w:val="24"/>
              <w:lang w:val="sq-AL"/>
            </w:rPr>
            <w:t>regjistrave qendror të llogarive bankare për identifikimin e çdo personi fizik apo juridik, që mban apo kontrollon llogari pagesash, llogari bankare apo kasetat e sigurisë në territoret e tyre</w:t>
          </w:r>
          <w:r w:rsidRPr="00384F88">
            <w:rPr>
              <w:szCs w:val="24"/>
              <w:lang w:val="sq-AL"/>
            </w:rPr>
            <w:t>.</w:t>
          </w:r>
        </w:p>
        <w:p w:rsidR="00563378" w:rsidRDefault="00B16AC8" w:rsidP="00CF2ADA">
          <w:pPr>
            <w:spacing w:before="240"/>
            <w:jc w:val="both"/>
            <w:rPr>
              <w:lang w:val="sq-AL"/>
            </w:rPr>
          </w:pPr>
        </w:p>
      </w:sdtContent>
    </w:sdt>
    <w:p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6" w:name="_Toc506919734" w:displacedByCustomXml="next"/>
    <w:sdt>
      <w:sdtPr>
        <w:id w:val="5332828"/>
        <w:lock w:val="contentLocked"/>
        <w:placeholder>
          <w:docPart w:val="873E64307E5F40099245506EC819755B"/>
        </w:placeholder>
      </w:sdtPr>
      <w:sdtEndPr/>
      <w:sdtContent>
        <w:p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sdt>
      <w:sdtPr>
        <w:rPr>
          <w:rFonts w:eastAsiaTheme="majorEastAsia"/>
        </w:rPr>
        <w:id w:val="183797412"/>
        <w:placeholder>
          <w:docPart w:val="6DDBB321FA75409DA38DDE9CB0FD1E41"/>
        </w:placeholder>
      </w:sdtPr>
      <w:sdtEndPr>
        <w:rPr>
          <w:color w:val="C0504D" w:themeColor="accent2"/>
        </w:rPr>
      </w:sdtEndPr>
      <w:sdtContent>
        <w:p w:rsidR="007F26B5" w:rsidRPr="008E7E39" w:rsidRDefault="007A17DF" w:rsidP="007A17DF">
          <w:pPr>
            <w:spacing w:before="240"/>
            <w:jc w:val="both"/>
            <w:rPr>
              <w:rFonts w:eastAsiaTheme="majorEastAsia"/>
            </w:rPr>
          </w:pPr>
          <w:r w:rsidRPr="008E7E39">
            <w:rPr>
              <w:rFonts w:eastAsiaTheme="majorEastAsia"/>
            </w:rPr>
            <w:t xml:space="preserve">Qëllimi i përgatitjes së këtij projektligji synon përcaktimin e funksioneve të regjistrit të llogarive bankare, mënyrën e raportimit dhe shfrytëzimit të të dhënave të llogarive bankare, si dhe aksesin dhe shfrytëzimin e këtij regjistri me qëllim identifikimin e pasurive të dyshuara me prejardhje nga veprimtari kriminale, nëpërmjet transaksioneve bankare. </w:t>
          </w:r>
        </w:p>
        <w:p w:rsidR="00F72B7C" w:rsidRDefault="007A17DF" w:rsidP="007A17DF">
          <w:pPr>
            <w:spacing w:before="240"/>
            <w:jc w:val="both"/>
            <w:rPr>
              <w:rFonts w:eastAsiaTheme="majorEastAsia"/>
              <w:color w:val="808080" w:themeColor="background1" w:themeShade="80"/>
            </w:rPr>
          </w:pPr>
          <w:r w:rsidRPr="008E7E39">
            <w:rPr>
              <w:rFonts w:eastAsiaTheme="majorEastAsia"/>
            </w:rPr>
            <w:t xml:space="preserve">Regjistri do të përdoret pikërisht si një mjet për zbulimin, identifikimin dhe hetimin e veprimtarisë kriminale, ndjekjen penale të autorëve të veprave penale, zbulimin, gjurmimin ose identifikimin e pasurive të dyshuara me origjinë nga veprimtari kriminale si edhe detyrimeve tatimore.  Gjithashtu, përcaktohet se </w:t>
          </w:r>
          <w:r w:rsidRPr="008E7E39">
            <w:rPr>
              <w:rFonts w:eastAsiaTheme="majorEastAsia"/>
            </w:rPr>
            <w:lastRenderedPageBreak/>
            <w:t>objekt i rregullimit të ligjit janë jo vetëm llogaritë bankare por edhe kasetat e sigurisë të mbajtura nga klientët e institucioneve financiare</w:t>
          </w:r>
          <w:r w:rsidRPr="007A17DF">
            <w:rPr>
              <w:rFonts w:eastAsiaTheme="majorEastAsia"/>
              <w:color w:val="808080" w:themeColor="background1" w:themeShade="80"/>
            </w:rPr>
            <w:t>.</w:t>
          </w:r>
        </w:p>
        <w:p w:rsidR="007A17DF" w:rsidRPr="00A512E8" w:rsidRDefault="00F72B7C" w:rsidP="00F72B7C">
          <w:pPr>
            <w:spacing w:before="240"/>
            <w:jc w:val="both"/>
            <w:rPr>
              <w:szCs w:val="24"/>
              <w:lang w:val="sq-AL"/>
            </w:rPr>
          </w:pPr>
          <w:r w:rsidRPr="00A512E8">
            <w:rPr>
              <w:rFonts w:eastAsiaTheme="majorEastAsia"/>
            </w:rPr>
            <w:t>Grupet e prekura nga ky projektligj jan</w:t>
          </w:r>
          <w:r w:rsidR="008E63A7">
            <w:rPr>
              <w:rFonts w:eastAsiaTheme="majorEastAsia"/>
            </w:rPr>
            <w:t>ë</w:t>
          </w:r>
          <w:r w:rsidRPr="00A512E8">
            <w:rPr>
              <w:szCs w:val="24"/>
              <w:lang w:val="sq-AL"/>
            </w:rPr>
            <w:t xml:space="preserve"> </w:t>
          </w:r>
          <w:r>
            <w:rPr>
              <w:szCs w:val="24"/>
              <w:lang w:val="sq-AL"/>
            </w:rPr>
            <w:t>individet, person fizik ose juridik, t</w:t>
          </w:r>
          <w:r w:rsidR="008E63A7">
            <w:rPr>
              <w:szCs w:val="24"/>
              <w:lang w:val="sq-AL"/>
            </w:rPr>
            <w:t>ë</w:t>
          </w:r>
          <w:r>
            <w:rPr>
              <w:szCs w:val="24"/>
              <w:lang w:val="sq-AL"/>
            </w:rPr>
            <w:t xml:space="preserve"> cil</w:t>
          </w:r>
          <w:r w:rsidR="008E63A7">
            <w:rPr>
              <w:szCs w:val="24"/>
              <w:lang w:val="sq-AL"/>
            </w:rPr>
            <w:t>ë</w:t>
          </w:r>
          <w:r>
            <w:rPr>
              <w:szCs w:val="24"/>
              <w:lang w:val="sq-AL"/>
            </w:rPr>
            <w:t>t disponojn</w:t>
          </w:r>
          <w:r w:rsidR="008E63A7">
            <w:rPr>
              <w:szCs w:val="24"/>
              <w:lang w:val="sq-AL"/>
            </w:rPr>
            <w:t>ë</w:t>
          </w:r>
          <w:r>
            <w:rPr>
              <w:szCs w:val="24"/>
              <w:lang w:val="sq-AL"/>
            </w:rPr>
            <w:t xml:space="preserve"> llogari depozite, llogari rrjedhëse, llogari për kartë krediti, llogari pagese apo çdo lloj llogarie tjetër e ofruar nga një institucion financiar, pavarësisht statusit të saj aktive, bllokuar apo e fjetur; </w:t>
          </w:r>
          <w:r w:rsidRPr="00F72B7C">
            <w:rPr>
              <w:szCs w:val="24"/>
              <w:lang w:val="sq-AL"/>
            </w:rPr>
            <w:t>shoqëritë tregtare të çdo lloji si dhe çdo subjekt tjetër juridik, i cili me ligj detyrohet të regjistrohet pranë QKB-së;</w:t>
          </w:r>
          <w:r>
            <w:rPr>
              <w:szCs w:val="24"/>
              <w:lang w:val="sq-AL"/>
            </w:rPr>
            <w:t xml:space="preserve"> </w:t>
          </w:r>
          <w:r w:rsidRPr="00F72B7C">
            <w:rPr>
              <w:szCs w:val="24"/>
              <w:lang w:val="sq-AL"/>
            </w:rPr>
            <w:t>organizatat jo fitimprurëse, ku përfshihen fondacionet, shoqatat, qendrat, si dhe degët e organ</w:t>
          </w:r>
          <w:r>
            <w:rPr>
              <w:szCs w:val="24"/>
              <w:lang w:val="sq-AL"/>
            </w:rPr>
            <w:t xml:space="preserve">izatave jofitimprurëse të huaja; </w:t>
          </w:r>
          <w:r w:rsidR="00FC22E7">
            <w:rPr>
              <w:szCs w:val="24"/>
              <w:lang w:val="sq-AL"/>
            </w:rPr>
            <w:t>i</w:t>
          </w:r>
          <w:r w:rsidRPr="00F72B7C">
            <w:rPr>
              <w:szCs w:val="24"/>
              <w:lang w:val="sq-AL"/>
            </w:rPr>
            <w:t>nstitucionet e ndërmarrjet shtetërore që financohen vetë ose nga buxheti i shtetit;</w:t>
          </w:r>
          <w:r>
            <w:rPr>
              <w:szCs w:val="24"/>
              <w:lang w:val="sq-AL"/>
            </w:rPr>
            <w:t xml:space="preserve"> entet e tjera publike apo me karakter privat, të cilat e fitojnë  personalitetin juridik me ligj </w:t>
          </w:r>
          <w:r>
            <w:rPr>
              <w:rFonts w:eastAsiaTheme="majorEastAsia"/>
              <w:color w:val="808080" w:themeColor="background1" w:themeShade="80"/>
            </w:rPr>
            <w:t xml:space="preserve"> </w:t>
          </w:r>
        </w:p>
      </w:sdtContent>
    </w:sdt>
    <w:p w:rsidR="00563378" w:rsidRPr="00563378" w:rsidRDefault="002125B7" w:rsidP="007A17DF">
      <w:pPr>
        <w:spacing w:before="240"/>
        <w:jc w:val="both"/>
        <w:rPr>
          <w:szCs w:val="24"/>
          <w:lang w:val="sq-AL"/>
        </w:rPr>
      </w:pPr>
      <w:r w:rsidRPr="00325A1F">
        <w:rPr>
          <w:szCs w:val="24"/>
          <w:lang w:val="sq-AL"/>
        </w:rPr>
        <w:t xml:space="preserve">Arsyeja e ndërhyrjes </w:t>
      </w:r>
      <w:bookmarkEnd w:id="6"/>
    </w:p>
    <w:sdt>
      <w:sdtPr>
        <w:id w:val="-1161541828"/>
        <w:lock w:val="contentLocked"/>
        <w:placeholder>
          <w:docPart w:val="DefaultPlaceholder_1081868574"/>
        </w:placeholder>
      </w:sdtPr>
      <w:sdtEndPr>
        <w:rPr>
          <w:sz w:val="24"/>
          <w:szCs w:val="24"/>
        </w:rPr>
      </w:sdtEndPr>
      <w:sdtContent>
        <w:p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rsidR="00306401" w:rsidRPr="00372979" w:rsidRDefault="00372979" w:rsidP="000F5463">
          <w:pPr>
            <w:pStyle w:val="ListParagraph"/>
            <w:spacing w:after="0" w:line="276" w:lineRule="auto"/>
            <w:ind w:left="720" w:firstLine="0"/>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p w:rsidR="007A17DF" w:rsidRPr="008E7E39" w:rsidRDefault="007A17DF" w:rsidP="007A17DF">
      <w:pPr>
        <w:spacing w:before="240"/>
        <w:jc w:val="both"/>
      </w:pPr>
      <w:bookmarkStart w:id="7" w:name="_Toc506919735"/>
      <w:r w:rsidRPr="008E7E39">
        <w:t>Në Forumin Ministror BE-Ballkan Perëndimor për Drejtësinë dhe Çështjet e Brendshme në Tiranë, në datë 5 Tetor  2018, përfaqësuesit e BE-së dhe të Partnerëve të Ballkanit Perëndimor nënshkruan Planin e Përbashkët të Veprimit për Anti-Terrorizmin për Ballkanin Perëndimor .</w:t>
      </w:r>
    </w:p>
    <w:p w:rsidR="00306401" w:rsidRDefault="007A17DF" w:rsidP="007A17DF">
      <w:pPr>
        <w:spacing w:before="240"/>
        <w:jc w:val="both"/>
      </w:pPr>
      <w:r w:rsidRPr="008E7E39">
        <w:t>Sipas objektivit 4 të Planit të Përbashkët të Veprimit , Shqipëria ka marrë përsipër harmonizimin e plotë me Direktivat e BE kundër pastrimit të parave, brenda periudhës 2020-2021.</w:t>
      </w:r>
    </w:p>
    <w:p w:rsidR="007A17DF" w:rsidRPr="008E7E39" w:rsidRDefault="007A17DF" w:rsidP="007A17DF">
      <w:pPr>
        <w:spacing w:before="240"/>
        <w:jc w:val="both"/>
      </w:pPr>
      <w:r w:rsidRPr="008E7E39">
        <w:t>Neni 32a i Direktivës 2015/849/ EU1 “Kundër Pastrimit të Parave” kërkon ngritjen e regjistrave qendror të llogarive bankare për identifikimin e çdo personi fizik apo juridik, që mban apo kontrollon llogari pagesash, llogari bankare apo kasetat e sigurisë në territoret e tyre.</w:t>
      </w:r>
    </w:p>
    <w:p w:rsidR="007A17DF" w:rsidRPr="008E7E39" w:rsidRDefault="007A17DF" w:rsidP="007A17DF">
      <w:pPr>
        <w:spacing w:before="240"/>
        <w:jc w:val="both"/>
      </w:pPr>
      <w:r w:rsidRPr="008E7E39">
        <w:t xml:space="preserve">Në këtë kuptim, deri tani, në kuadrin ligjor Shqiptar evidentohet një mungesë dhe vakum ligjor për sa i përket krijimit të një regjistri të llogarive bankare. </w:t>
      </w:r>
    </w:p>
    <w:p w:rsidR="007A17DF" w:rsidRPr="008E7E39" w:rsidRDefault="007A17DF" w:rsidP="007A17DF">
      <w:pPr>
        <w:spacing w:before="240"/>
        <w:jc w:val="both"/>
      </w:pPr>
      <w:r w:rsidRPr="008E7E39">
        <w:t>Në kuadër të këtij konstatimi të vakumit ligjor, duhen adresuar disa elemente kryesorë në lidhje me hartimin dhe miratimin e një ligji specifik apo transpozimeve të mundshme në kuadrin ligjor ekzistues për ngritjen e regjistrit të llogarive bankare.</w:t>
      </w:r>
    </w:p>
    <w:p w:rsidR="00AC29B4" w:rsidRDefault="007A17DF" w:rsidP="007A17DF">
      <w:pPr>
        <w:spacing w:before="240"/>
        <w:jc w:val="both"/>
      </w:pPr>
      <w:r w:rsidRPr="008E7E39">
        <w:t>Si rrjedhim, në zbatim të Planit të Përbashkët të Veprimit dhe nenit 32a të Direktivës, Shqipëria duhet të ngrejë dhe të ketë funksional “regjistrin e llogarive bankare” deri në Tetor 2021.</w:t>
      </w:r>
    </w:p>
    <w:p w:rsidR="005F51BE" w:rsidRPr="008E7E39" w:rsidRDefault="005F51BE" w:rsidP="007A17DF">
      <w:pPr>
        <w:spacing w:before="240"/>
        <w:jc w:val="both"/>
      </w:pPr>
    </w:p>
    <w:p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7"/>
    </w:p>
    <w:sdt>
      <w:sdtPr>
        <w:rPr>
          <w:rFonts w:ascii="Times New Roman" w:hAnsi="Times New Roman"/>
          <w:sz w:val="24"/>
          <w:szCs w:val="24"/>
          <w:lang w:val="sq-AL"/>
        </w:rPr>
        <w:id w:val="-531503755"/>
        <w:lock w:val="contentLocked"/>
        <w:placeholder>
          <w:docPart w:val="DefaultPlaceholder_1081868574"/>
        </w:placeholder>
      </w:sdtPr>
      <w:sdtEndPr/>
      <w:sdtContent>
        <w:p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lastRenderedPageBreak/>
            <w:t xml:space="preserve">Sigurohuni që objektivat e vendosur të korrespondojnë me ato të dhëna në përmbledhjen ekzekutive, por më të detajuara. </w:t>
          </w:r>
        </w:p>
        <w:p w:rsidR="009E64A4" w:rsidRPr="00325A1F" w:rsidRDefault="009E64A4" w:rsidP="009D13F4">
          <w:pPr>
            <w:pStyle w:val="ListParagraph"/>
            <w:numPr>
              <w:ilvl w:val="0"/>
              <w:numId w:val="30"/>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rsidR="003A3977" w:rsidRPr="003A3977" w:rsidRDefault="003A3977" w:rsidP="003A3977">
      <w:pPr>
        <w:spacing w:before="240"/>
        <w:jc w:val="both"/>
        <w:rPr>
          <w:lang w:val="sq-AL"/>
        </w:rPr>
      </w:pPr>
    </w:p>
    <w:p w:rsidR="000F5463" w:rsidRPr="000F5463" w:rsidRDefault="000F5463" w:rsidP="000F5463">
      <w:pPr>
        <w:spacing w:before="240"/>
        <w:jc w:val="both"/>
        <w:rPr>
          <w:lang w:val="sq-AL"/>
        </w:rPr>
      </w:pPr>
      <w:r w:rsidRPr="000F5463">
        <w:rPr>
          <w:lang w:val="sq-AL"/>
        </w:rPr>
        <w:t>1.</w:t>
      </w:r>
      <w:r w:rsidRPr="000F5463">
        <w:rPr>
          <w:lang w:val="sq-AL"/>
        </w:rPr>
        <w:tab/>
        <w:t>Përmbushje  e rekomandimeve të FATF-së</w:t>
      </w:r>
    </w:p>
    <w:p w:rsidR="000F5463" w:rsidRPr="000F5463" w:rsidRDefault="000F5463" w:rsidP="000F5463">
      <w:pPr>
        <w:spacing w:before="240"/>
        <w:jc w:val="both"/>
        <w:rPr>
          <w:lang w:val="sq-AL"/>
        </w:rPr>
      </w:pPr>
      <w:r w:rsidRPr="000F5463">
        <w:rPr>
          <w:lang w:val="sq-AL"/>
        </w:rPr>
        <w:t>2.</w:t>
      </w:r>
      <w:r w:rsidRPr="000F5463">
        <w:rPr>
          <w:lang w:val="sq-AL"/>
        </w:rPr>
        <w:tab/>
        <w:t xml:space="preserve">Të ngrihet regjistri i llogarive bankare 3 muaj pas miratimit të ligjit. </w:t>
      </w:r>
    </w:p>
    <w:p w:rsidR="000F5463" w:rsidRPr="000F5463" w:rsidRDefault="000F5463" w:rsidP="000F5463">
      <w:pPr>
        <w:spacing w:before="240"/>
        <w:jc w:val="both"/>
        <w:rPr>
          <w:lang w:val="sq-AL"/>
        </w:rPr>
      </w:pPr>
      <w:r w:rsidRPr="000F5463">
        <w:rPr>
          <w:lang w:val="sq-AL"/>
        </w:rPr>
        <w:t>3.</w:t>
      </w:r>
      <w:r w:rsidRPr="000F5463">
        <w:rPr>
          <w:lang w:val="sq-AL"/>
        </w:rPr>
        <w:tab/>
        <w:t>Të bëhet funksional deri në tetor 2021.</w:t>
      </w:r>
    </w:p>
    <w:p w:rsidR="000F5463" w:rsidRPr="000F5463" w:rsidRDefault="000F5463" w:rsidP="000F5463">
      <w:pPr>
        <w:spacing w:before="240"/>
        <w:jc w:val="both"/>
        <w:rPr>
          <w:lang w:val="sq-AL"/>
        </w:rPr>
      </w:pPr>
      <w:r w:rsidRPr="000F5463">
        <w:rPr>
          <w:lang w:val="sq-AL"/>
        </w:rPr>
        <w:t>4.</w:t>
      </w:r>
      <w:r w:rsidRPr="000F5463">
        <w:rPr>
          <w:lang w:val="sq-AL"/>
        </w:rPr>
        <w:tab/>
        <w:t>Të bëhet i mundur aksesi i drejtëpërdrejtë i informacionit për Njësitë e Inteligjencës Financiare dhe Autoritetet Kombëtare Kompetente për Parandalimin e Pastrimit të Parave.</w:t>
      </w:r>
    </w:p>
    <w:p w:rsidR="000F5463" w:rsidRPr="000F5463" w:rsidRDefault="000F5463" w:rsidP="000F5463">
      <w:pPr>
        <w:spacing w:before="240"/>
        <w:jc w:val="both"/>
        <w:rPr>
          <w:lang w:val="sq-AL"/>
        </w:rPr>
      </w:pPr>
      <w:r w:rsidRPr="000F5463">
        <w:rPr>
          <w:lang w:val="sq-AL"/>
        </w:rPr>
        <w:t>5.</w:t>
      </w:r>
      <w:r w:rsidRPr="000F5463">
        <w:rPr>
          <w:lang w:val="sq-AL"/>
        </w:rPr>
        <w:tab/>
        <w:t>Të përdoret si mjet për zbulimin, gjurmimin ose identifikimin e pasurive të dyshuara me origjinë nga veprimtari kriminale.</w:t>
      </w:r>
    </w:p>
    <w:p w:rsidR="000F5463" w:rsidRPr="000F5463" w:rsidRDefault="000F5463" w:rsidP="000F5463">
      <w:pPr>
        <w:spacing w:before="240"/>
        <w:jc w:val="both"/>
        <w:rPr>
          <w:lang w:val="sq-AL"/>
        </w:rPr>
      </w:pPr>
      <w:r w:rsidRPr="000F5463">
        <w:rPr>
          <w:lang w:val="sq-AL"/>
        </w:rPr>
        <w:t>6.</w:t>
      </w:r>
      <w:r w:rsidRPr="000F5463">
        <w:rPr>
          <w:lang w:val="sq-AL"/>
        </w:rPr>
        <w:tab/>
        <w:t>Të përdoret në funksion të mbledhjes së detyrimeve tatimore.</w:t>
      </w:r>
    </w:p>
    <w:p w:rsidR="000F5463" w:rsidRPr="000F5463" w:rsidRDefault="000F5463" w:rsidP="000F5463">
      <w:pPr>
        <w:spacing w:before="240"/>
        <w:jc w:val="both"/>
        <w:rPr>
          <w:lang w:val="sq-AL"/>
        </w:rPr>
      </w:pPr>
      <w:r w:rsidRPr="000F5463">
        <w:rPr>
          <w:lang w:val="sq-AL"/>
        </w:rPr>
        <w:t>7.</w:t>
      </w:r>
      <w:r w:rsidRPr="000F5463">
        <w:rPr>
          <w:lang w:val="sq-AL"/>
        </w:rPr>
        <w:tab/>
        <w:t xml:space="preserve"> Të arrihet plotësimi i kuadrit ligjor duke mundësuar rregullimin e të drejtave dhe detyrimeve për krijimin, përdorimin dhe funksionimin e regjistrit qendror të llogarive bankare dhe kasetave të sigurisë.</w:t>
      </w:r>
    </w:p>
    <w:p w:rsidR="000F5463" w:rsidRPr="000F5463" w:rsidRDefault="000F5463" w:rsidP="000F5463">
      <w:pPr>
        <w:spacing w:before="240"/>
        <w:jc w:val="both"/>
        <w:rPr>
          <w:lang w:val="sq-AL"/>
        </w:rPr>
      </w:pPr>
      <w:r w:rsidRPr="000F5463">
        <w:rPr>
          <w:lang w:val="sq-AL"/>
        </w:rPr>
        <w:t>8.</w:t>
      </w:r>
      <w:r w:rsidRPr="000F5463">
        <w:rPr>
          <w:lang w:val="sq-AL"/>
        </w:rPr>
        <w:tab/>
        <w:t>Rritja e koordinimit ë midis institucioneve qendrore dhe Bankave, me qëllim përmiresimin e masave në kuadër të luftës kundër pastrimit të parave dhe terrorizmit.</w:t>
      </w:r>
    </w:p>
    <w:p w:rsidR="000F5463" w:rsidRPr="000F5463" w:rsidRDefault="000F5463" w:rsidP="009D13F4">
      <w:pPr>
        <w:pStyle w:val="Heading1"/>
        <w:spacing w:line="276" w:lineRule="auto"/>
        <w:rPr>
          <w:rFonts w:ascii="Times New Roman" w:hAnsi="Times New Roman" w:cs="Times New Roman"/>
          <w:b w:val="0"/>
          <w:sz w:val="24"/>
          <w:szCs w:val="24"/>
          <w:lang w:val="sq-AL"/>
        </w:rPr>
      </w:pPr>
      <w:r w:rsidRPr="000F5463">
        <w:rPr>
          <w:rFonts w:ascii="Times New Roman" w:hAnsi="Times New Roman" w:cs="Times New Roman"/>
          <w:b w:val="0"/>
          <w:sz w:val="24"/>
          <w:szCs w:val="24"/>
          <w:lang w:val="sq-AL"/>
        </w:rPr>
        <w:t>9.</w:t>
      </w:r>
      <w:r w:rsidRPr="000F5463">
        <w:rPr>
          <w:rFonts w:ascii="Times New Roman" w:hAnsi="Times New Roman" w:cs="Times New Roman"/>
          <w:b w:val="0"/>
          <w:sz w:val="24"/>
          <w:szCs w:val="24"/>
          <w:lang w:val="sq-AL"/>
        </w:rPr>
        <w:tab/>
        <w:t xml:space="preserve">Garantimin e harmonizimit dhe te qartesise se rregullave ligjore per personat/grupet e interesuara (duke miratuar nje ligj te posaçem per kete fushe).  </w:t>
      </w:r>
    </w:p>
    <w:p w:rsidR="002125B7" w:rsidRPr="00325A1F" w:rsidRDefault="002125B7" w:rsidP="000F5463">
      <w:pPr>
        <w:pStyle w:val="Heading1"/>
        <w:tabs>
          <w:tab w:val="clear" w:pos="10206"/>
          <w:tab w:val="left" w:pos="7447"/>
        </w:tabs>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r w:rsidR="000F5463">
        <w:rPr>
          <w:rFonts w:ascii="Times New Roman" w:hAnsi="Times New Roman" w:cs="Times New Roman"/>
          <w:sz w:val="24"/>
          <w:szCs w:val="24"/>
          <w:lang w:val="sq-AL"/>
        </w:rPr>
        <w:tab/>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rsidR="00006B53" w:rsidRPr="008E7E39" w:rsidRDefault="00170214" w:rsidP="00006B53">
      <w:pPr>
        <w:spacing w:before="240"/>
        <w:jc w:val="both"/>
        <w:rPr>
          <w:color w:val="000000" w:themeColor="text1"/>
          <w:szCs w:val="24"/>
          <w:lang w:val="sq-AL"/>
        </w:rPr>
      </w:pPr>
      <w:r>
        <w:rPr>
          <w:b/>
          <w:color w:val="000000" w:themeColor="text1"/>
          <w:szCs w:val="24"/>
          <w:lang w:val="sq-AL"/>
        </w:rPr>
        <w:t xml:space="preserve"> Opsioni 0 </w:t>
      </w:r>
      <w:r w:rsidR="00006B53" w:rsidRPr="008E7E39">
        <w:rPr>
          <w:b/>
          <w:color w:val="000000" w:themeColor="text1"/>
          <w:szCs w:val="24"/>
          <w:lang w:val="sq-AL"/>
        </w:rPr>
        <w:t xml:space="preserve">Status quo. </w:t>
      </w:r>
      <w:r w:rsidR="00006B53" w:rsidRPr="008E7E39">
        <w:rPr>
          <w:color w:val="000000" w:themeColor="text1"/>
          <w:szCs w:val="24"/>
          <w:lang w:val="sq-AL"/>
        </w:rPr>
        <w:t xml:space="preserve"> Duke q</w:t>
      </w:r>
      <w:r w:rsidR="002462AA" w:rsidRPr="008E7E39">
        <w:rPr>
          <w:color w:val="000000" w:themeColor="text1"/>
          <w:szCs w:val="24"/>
          <w:lang w:val="sq-AL"/>
        </w:rPr>
        <w:t>ë</w:t>
      </w:r>
      <w:r w:rsidR="00006B53" w:rsidRPr="008E7E39">
        <w:rPr>
          <w:color w:val="000000" w:themeColor="text1"/>
          <w:szCs w:val="24"/>
          <w:lang w:val="sq-AL"/>
        </w:rPr>
        <w:t>n</w:t>
      </w:r>
      <w:r w:rsidR="002462AA" w:rsidRPr="008E7E39">
        <w:rPr>
          <w:color w:val="000000" w:themeColor="text1"/>
          <w:szCs w:val="24"/>
          <w:lang w:val="sq-AL"/>
        </w:rPr>
        <w:t>ë</w:t>
      </w:r>
      <w:r w:rsidR="00006B53" w:rsidRPr="008E7E39">
        <w:rPr>
          <w:color w:val="000000" w:themeColor="text1"/>
          <w:szCs w:val="24"/>
          <w:lang w:val="sq-AL"/>
        </w:rPr>
        <w:t xml:space="preserve"> se në kuadrin ligjor Shqiptar evidentohet një mungesë dhe vakum ligjor për sa i përket krijimit të një regjistri të llogarive bankare, at</w:t>
      </w:r>
      <w:r w:rsidR="002462AA" w:rsidRPr="008E7E39">
        <w:rPr>
          <w:color w:val="000000" w:themeColor="text1"/>
          <w:szCs w:val="24"/>
          <w:lang w:val="sq-AL"/>
        </w:rPr>
        <w:t>ë</w:t>
      </w:r>
      <w:r w:rsidR="00006B53" w:rsidRPr="008E7E39">
        <w:rPr>
          <w:color w:val="000000" w:themeColor="text1"/>
          <w:szCs w:val="24"/>
          <w:lang w:val="sq-AL"/>
        </w:rPr>
        <w:t>her</w:t>
      </w:r>
      <w:r w:rsidR="002462AA" w:rsidRPr="008E7E39">
        <w:rPr>
          <w:color w:val="000000" w:themeColor="text1"/>
          <w:szCs w:val="24"/>
          <w:lang w:val="sq-AL"/>
        </w:rPr>
        <w:t>ë</w:t>
      </w:r>
      <w:r w:rsidR="00006B53" w:rsidRPr="008E7E39">
        <w:rPr>
          <w:color w:val="000000" w:themeColor="text1"/>
          <w:szCs w:val="24"/>
          <w:lang w:val="sq-AL"/>
        </w:rPr>
        <w:t xml:space="preserve"> ky opsion nuk mund t</w:t>
      </w:r>
      <w:r w:rsidR="002462AA" w:rsidRPr="008E7E39">
        <w:rPr>
          <w:color w:val="000000" w:themeColor="text1"/>
          <w:szCs w:val="24"/>
          <w:lang w:val="sq-AL"/>
        </w:rPr>
        <w:t>ë</w:t>
      </w:r>
      <w:r w:rsidR="00006B53" w:rsidRPr="008E7E39">
        <w:rPr>
          <w:color w:val="000000" w:themeColor="text1"/>
          <w:szCs w:val="24"/>
          <w:lang w:val="sq-AL"/>
        </w:rPr>
        <w:t xml:space="preserve"> merret parasysh pasi nuk do b</w:t>
      </w:r>
      <w:r w:rsidR="002462AA" w:rsidRPr="008E7E39">
        <w:rPr>
          <w:color w:val="000000" w:themeColor="text1"/>
          <w:szCs w:val="24"/>
          <w:lang w:val="sq-AL"/>
        </w:rPr>
        <w:t>ë</w:t>
      </w:r>
      <w:r w:rsidR="00006B53" w:rsidRPr="008E7E39">
        <w:rPr>
          <w:color w:val="000000" w:themeColor="text1"/>
          <w:szCs w:val="24"/>
          <w:lang w:val="sq-AL"/>
        </w:rPr>
        <w:t>nte t</w:t>
      </w:r>
      <w:r w:rsidR="002462AA" w:rsidRPr="008E7E39">
        <w:rPr>
          <w:color w:val="000000" w:themeColor="text1"/>
          <w:szCs w:val="24"/>
          <w:lang w:val="sq-AL"/>
        </w:rPr>
        <w:t>ë</w:t>
      </w:r>
      <w:r w:rsidR="00006B53" w:rsidRPr="008E7E39">
        <w:rPr>
          <w:color w:val="000000" w:themeColor="text1"/>
          <w:szCs w:val="24"/>
          <w:lang w:val="sq-AL"/>
        </w:rPr>
        <w:t xml:space="preserve"> mundur arritjen e objektivave t</w:t>
      </w:r>
      <w:r w:rsidR="002462AA" w:rsidRPr="008E7E39">
        <w:rPr>
          <w:color w:val="000000" w:themeColor="text1"/>
          <w:szCs w:val="24"/>
          <w:lang w:val="sq-AL"/>
        </w:rPr>
        <w:t>ë</w:t>
      </w:r>
      <w:r w:rsidR="00006B53" w:rsidRPr="008E7E39">
        <w:rPr>
          <w:color w:val="000000" w:themeColor="text1"/>
          <w:szCs w:val="24"/>
          <w:lang w:val="sq-AL"/>
        </w:rPr>
        <w:t xml:space="preserve"> vendosura.</w:t>
      </w:r>
      <w:r w:rsidR="002555BE">
        <w:rPr>
          <w:color w:val="000000" w:themeColor="text1"/>
          <w:szCs w:val="24"/>
          <w:lang w:val="sq-AL"/>
        </w:rPr>
        <w:t xml:space="preserve"> </w:t>
      </w:r>
    </w:p>
    <w:p w:rsidR="00170214" w:rsidRPr="008E7E39" w:rsidRDefault="00170214" w:rsidP="00170214">
      <w:pPr>
        <w:spacing w:before="240"/>
        <w:jc w:val="both"/>
        <w:rPr>
          <w:szCs w:val="24"/>
          <w:lang w:val="sq-AL"/>
        </w:rPr>
      </w:pPr>
      <w:r w:rsidRPr="002555BE">
        <w:rPr>
          <w:b/>
          <w:szCs w:val="24"/>
          <w:lang w:val="sq-AL"/>
        </w:rPr>
        <w:t>Opsioni 1</w:t>
      </w:r>
      <w:r>
        <w:rPr>
          <w:szCs w:val="24"/>
          <w:lang w:val="sq-AL"/>
        </w:rPr>
        <w:t xml:space="preserve"> </w:t>
      </w:r>
      <w:r w:rsidRPr="002555BE">
        <w:rPr>
          <w:b/>
          <w:szCs w:val="24"/>
          <w:lang w:val="sq-AL"/>
        </w:rPr>
        <w:t>Hartimi dhe miratimi i një ligji të ri</w:t>
      </w:r>
      <w:r w:rsidRPr="008E7E39">
        <w:rPr>
          <w:szCs w:val="24"/>
          <w:lang w:val="sq-AL"/>
        </w:rPr>
        <w:t xml:space="preserve"> : Hartimi i një ligji të ri/ ligj specifik, është një mundësi për të përmbushur qëllimin për krijimin e një kuadri rregullator unifikues për ngritjen e regjistrit të llogarive bankare. Kjo, nisur nga fakti që ky është një proces që do të kryhet për herë të parë në Shqipëri, dhe si i tillë nuk ka pasur bazë ligjore për zbatimin e tij. Hartimi i një ligji të ri, meqenëse </w:t>
      </w:r>
      <w:r w:rsidRPr="008E7E39">
        <w:rPr>
          <w:szCs w:val="24"/>
          <w:lang w:val="sq-AL"/>
        </w:rPr>
        <w:lastRenderedPageBreak/>
        <w:t xml:space="preserve">kemi të bëjmë me një procedure krejtësisht të re, është një opsion për të bërë të mundur krijimin e regjistrit të llogarive bankare dhe më pas implementimin e tij në përputhje dhe direktivat respektive të B.E në këtë fushë. </w:t>
      </w:r>
    </w:p>
    <w:p w:rsidR="00006B53" w:rsidRPr="008E7E39" w:rsidRDefault="00170214" w:rsidP="00006B53">
      <w:pPr>
        <w:spacing w:before="240"/>
        <w:jc w:val="both"/>
        <w:rPr>
          <w:color w:val="000000" w:themeColor="text1"/>
          <w:szCs w:val="24"/>
          <w:lang w:val="sq-AL"/>
        </w:rPr>
      </w:pPr>
      <w:r>
        <w:rPr>
          <w:b/>
          <w:color w:val="000000" w:themeColor="text1"/>
          <w:szCs w:val="24"/>
          <w:lang w:val="sq-AL"/>
        </w:rPr>
        <w:t xml:space="preserve">Opsioni 2 </w:t>
      </w:r>
      <w:r w:rsidR="00006B53" w:rsidRPr="008E7E39">
        <w:rPr>
          <w:b/>
          <w:color w:val="000000" w:themeColor="text1"/>
          <w:szCs w:val="24"/>
          <w:lang w:val="sq-AL"/>
        </w:rPr>
        <w:t xml:space="preserve">Ndryshimi </w:t>
      </w:r>
      <w:r w:rsidR="002555BE">
        <w:rPr>
          <w:b/>
          <w:color w:val="000000" w:themeColor="text1"/>
          <w:szCs w:val="24"/>
          <w:lang w:val="sq-AL"/>
        </w:rPr>
        <w:t xml:space="preserve">kuadrit ligjor aktuar </w:t>
      </w:r>
      <w:r w:rsidR="00006B53" w:rsidRPr="008E7E39">
        <w:rPr>
          <w:color w:val="000000" w:themeColor="text1"/>
          <w:szCs w:val="24"/>
          <w:lang w:val="sq-AL"/>
        </w:rPr>
        <w:t xml:space="preserve">:Nëse do të konsiderojmë si opsion që Drejtoria e Përgjithshme e Tatimeve do të jetë institucioni i përshtatshëm për ngritjen dhe administrimin e "Regjistrit te llogarive bankare", atëherë ndryshimet/amendime mund të bëhen në ligjin nr. 9920/2008, që rregullon procedurat tatimore në Republikën e Shqipërisë, i ndryshuar. Konkretisht, në nenin 61 “Detyrimi i të tretëve për të dhënë informacion”, parashikohet detyrimi i të tretëve, ku përfshihen dhe bankat për të dhënë informacionin e kërkuar për tatimpaguesit si vijon; “1. </w:t>
      </w:r>
      <w:r w:rsidR="00006B53" w:rsidRPr="002555BE">
        <w:rPr>
          <w:i/>
          <w:color w:val="000000" w:themeColor="text1"/>
          <w:szCs w:val="24"/>
          <w:lang w:val="sq-AL"/>
        </w:rPr>
        <w:t>Me kërkesën e administratës tatimore, palët e treta japin informacion, me shkrim ose me gojë, vënë në dispozicion librat dhe regjistrimet, si dhe informacion tjetër për detyrimin tatimor të një tatimpaguesi, me të cilin ata kanë hyrë në transaksione tregtare ose financiare.</w:t>
      </w:r>
      <w:r w:rsidR="002555BE">
        <w:rPr>
          <w:i/>
          <w:color w:val="000000" w:themeColor="text1"/>
          <w:szCs w:val="24"/>
          <w:lang w:val="sq-AL"/>
        </w:rPr>
        <w:t xml:space="preserve"> </w:t>
      </w:r>
      <w:r w:rsidR="00006B53" w:rsidRPr="008E7E39">
        <w:rPr>
          <w:color w:val="000000" w:themeColor="text1"/>
          <w:szCs w:val="24"/>
          <w:lang w:val="sq-AL"/>
        </w:rPr>
        <w:t xml:space="preserve">Por, ndërkohë sikurse është e parashikuar në këtë nen, ashtu dhe në nenin 1 “Objekti i ligjit” ku përcaktohet  se “ 1. </w:t>
      </w:r>
      <w:r w:rsidR="00006B53" w:rsidRPr="002555BE">
        <w:rPr>
          <w:i/>
          <w:color w:val="000000" w:themeColor="text1"/>
          <w:szCs w:val="24"/>
          <w:lang w:val="sq-AL"/>
        </w:rPr>
        <w:t>Ky ligj rregullon procedurat për administrimin e detyrimeve tatimore në Republikën e Shqipërisë, si dhe parimet e organizimit e të funksionimit të administratës tatim</w:t>
      </w:r>
      <w:r w:rsidR="001E1501" w:rsidRPr="002555BE">
        <w:rPr>
          <w:i/>
          <w:color w:val="000000" w:themeColor="text1"/>
          <w:szCs w:val="24"/>
          <w:lang w:val="sq-AL"/>
        </w:rPr>
        <w:t>ore në Republikën e Shqipërisë</w:t>
      </w:r>
      <w:r w:rsidR="00006B53" w:rsidRPr="008E7E39">
        <w:rPr>
          <w:color w:val="000000" w:themeColor="text1"/>
          <w:szCs w:val="24"/>
          <w:lang w:val="sq-AL"/>
        </w:rPr>
        <w:t>”, është e qartë se objekt i këtij ligji janë tatimpaguesit dhe detyrimet tatimore.</w:t>
      </w:r>
    </w:p>
    <w:p w:rsidR="00006B53" w:rsidRPr="008E7E39" w:rsidRDefault="00006B53" w:rsidP="00006B53">
      <w:pPr>
        <w:spacing w:before="240"/>
        <w:jc w:val="both"/>
        <w:rPr>
          <w:color w:val="000000" w:themeColor="text1"/>
          <w:szCs w:val="24"/>
          <w:lang w:val="sq-AL"/>
        </w:rPr>
      </w:pPr>
      <w:r w:rsidRPr="008E7E39">
        <w:rPr>
          <w:color w:val="000000" w:themeColor="text1"/>
          <w:szCs w:val="24"/>
          <w:lang w:val="sq-AL"/>
        </w:rPr>
        <w:t>Referuar, parashikimeve të sipërcituara si dhe faktit që regjistri i llogarive do të jetë gjithëpërfshirës</w:t>
      </w:r>
      <w:r w:rsidR="00F72B7C">
        <w:rPr>
          <w:color w:val="000000" w:themeColor="text1"/>
          <w:szCs w:val="24"/>
          <w:lang w:val="sq-AL"/>
        </w:rPr>
        <w:t xml:space="preserve"> </w:t>
      </w:r>
      <w:r w:rsidR="002555BE">
        <w:rPr>
          <w:color w:val="000000" w:themeColor="text1"/>
          <w:szCs w:val="24"/>
          <w:lang w:val="sq-AL"/>
        </w:rPr>
        <w:t>,</w:t>
      </w:r>
      <w:r w:rsidR="00F72B7C">
        <w:rPr>
          <w:color w:val="000000" w:themeColor="text1"/>
          <w:szCs w:val="24"/>
          <w:lang w:val="sq-AL"/>
        </w:rPr>
        <w:t>do t</w:t>
      </w:r>
      <w:r w:rsidR="008E63A7">
        <w:rPr>
          <w:color w:val="000000" w:themeColor="text1"/>
          <w:szCs w:val="24"/>
          <w:lang w:val="sq-AL"/>
        </w:rPr>
        <w:t>ë</w:t>
      </w:r>
      <w:r w:rsidR="00F72B7C">
        <w:rPr>
          <w:color w:val="000000" w:themeColor="text1"/>
          <w:szCs w:val="24"/>
          <w:lang w:val="sq-AL"/>
        </w:rPr>
        <w:t xml:space="preserve"> p</w:t>
      </w:r>
      <w:r w:rsidR="008E63A7">
        <w:rPr>
          <w:color w:val="000000" w:themeColor="text1"/>
          <w:szCs w:val="24"/>
          <w:lang w:val="sq-AL"/>
        </w:rPr>
        <w:t>ë</w:t>
      </w:r>
      <w:r w:rsidR="00F72B7C">
        <w:rPr>
          <w:color w:val="000000" w:themeColor="text1"/>
          <w:szCs w:val="24"/>
          <w:lang w:val="sq-AL"/>
        </w:rPr>
        <w:t>rmbaj</w:t>
      </w:r>
      <w:r w:rsidR="008E63A7">
        <w:rPr>
          <w:color w:val="000000" w:themeColor="text1"/>
          <w:szCs w:val="24"/>
          <w:lang w:val="sq-AL"/>
        </w:rPr>
        <w:t>ë</w:t>
      </w:r>
      <w:r w:rsidR="00F72B7C">
        <w:rPr>
          <w:color w:val="000000" w:themeColor="text1"/>
          <w:szCs w:val="24"/>
          <w:lang w:val="sq-AL"/>
        </w:rPr>
        <w:t xml:space="preserve"> t</w:t>
      </w:r>
      <w:r w:rsidR="008E63A7">
        <w:rPr>
          <w:color w:val="000000" w:themeColor="text1"/>
          <w:szCs w:val="24"/>
          <w:lang w:val="sq-AL"/>
        </w:rPr>
        <w:t>ë</w:t>
      </w:r>
      <w:r w:rsidR="00F72B7C">
        <w:rPr>
          <w:color w:val="000000" w:themeColor="text1"/>
          <w:szCs w:val="24"/>
          <w:lang w:val="sq-AL"/>
        </w:rPr>
        <w:t xml:space="preserve"> dh</w:t>
      </w:r>
      <w:r w:rsidR="008E63A7">
        <w:rPr>
          <w:color w:val="000000" w:themeColor="text1"/>
          <w:szCs w:val="24"/>
          <w:lang w:val="sq-AL"/>
        </w:rPr>
        <w:t>ë</w:t>
      </w:r>
      <w:r w:rsidR="00F72B7C">
        <w:rPr>
          <w:color w:val="000000" w:themeColor="text1"/>
          <w:szCs w:val="24"/>
          <w:lang w:val="sq-AL"/>
        </w:rPr>
        <w:t>na edhe p</w:t>
      </w:r>
      <w:r w:rsidR="008E63A7">
        <w:rPr>
          <w:color w:val="000000" w:themeColor="text1"/>
          <w:szCs w:val="24"/>
          <w:lang w:val="sq-AL"/>
        </w:rPr>
        <w:t>ë</w:t>
      </w:r>
      <w:r w:rsidR="00F72B7C">
        <w:rPr>
          <w:color w:val="000000" w:themeColor="text1"/>
          <w:szCs w:val="24"/>
          <w:lang w:val="sq-AL"/>
        </w:rPr>
        <w:t>r individ</w:t>
      </w:r>
      <w:r w:rsidR="008E63A7">
        <w:rPr>
          <w:color w:val="000000" w:themeColor="text1"/>
          <w:szCs w:val="24"/>
          <w:lang w:val="sq-AL"/>
        </w:rPr>
        <w:t>ë</w:t>
      </w:r>
      <w:r w:rsidR="00F72B7C">
        <w:rPr>
          <w:color w:val="000000" w:themeColor="text1"/>
          <w:szCs w:val="24"/>
          <w:lang w:val="sq-AL"/>
        </w:rPr>
        <w:t>, OJF, fondacione etj</w:t>
      </w:r>
      <w:r w:rsidR="002555BE">
        <w:rPr>
          <w:color w:val="000000" w:themeColor="text1"/>
          <w:szCs w:val="24"/>
          <w:lang w:val="sq-AL"/>
        </w:rPr>
        <w:t>,</w:t>
      </w:r>
      <w:r w:rsidRPr="008E7E39">
        <w:rPr>
          <w:color w:val="000000" w:themeColor="text1"/>
          <w:szCs w:val="24"/>
          <w:lang w:val="sq-AL"/>
        </w:rPr>
        <w:t xml:space="preserve"> dhe jo vetëm për tatimpaguesit apo detyrimet tatimore, mendojmë që opsioni i ndryshimit të këtij ligji nuk është opsioni më i mirë për rastin që trajtojmë. Gjithashtu, ndryshimi i Ligjit aktual nr. 9920/2008, i ndryshuar, nëpërmjet ndryshimit të disa neneve apo shtimit të dispozitave, do ta dëmtonte strukturën e tij dhe këto ndryshime ligjore do të rezultonin të paqarta dhe të vështira për t’u kuptuar dhe zbatuar në kuadër të objektit, qëllimit dhe fushës së veprimit të këtij ligji.</w:t>
      </w:r>
    </w:p>
    <w:p w:rsidR="00006B53" w:rsidRDefault="00006B53" w:rsidP="00006B53">
      <w:pPr>
        <w:spacing w:before="240"/>
        <w:jc w:val="both"/>
        <w:rPr>
          <w:color w:val="808080" w:themeColor="background1" w:themeShade="80"/>
          <w:szCs w:val="24"/>
          <w:lang w:val="sq-AL"/>
        </w:rPr>
      </w:pPr>
      <w:r w:rsidRPr="008E7E39">
        <w:rPr>
          <w:color w:val="000000" w:themeColor="text1"/>
          <w:szCs w:val="24"/>
          <w:lang w:val="sq-AL"/>
        </w:rPr>
        <w:t>Një tjetër institucion që mund të konsiderohet i përshtatshëm për ngritjen dhe administrimin e "regjistrit te llogarive bankare", është Drejtoria e Përgjithshme e Parandalimit dhe Pastrimit të Parave. Në këtë kuadër ndryshime/amendime në ligjin nr. 9917/2008 “Për parandalimin e pastrimit të parave dhe financimit të terrorizmit” nuk do të mund të zgjidhnin plotësisht detyrimin për ngritjen e “regjistrit të llogarive bankare”. Aktualisht subjektet financiare në bazë të dispozitave të këtij ligji kanë detyrimin për të kërkuar dhe ruajtur të dhënat për identifikimin e klientit (neni 5), të dhëna të cilat janë në përputhje me kërkesat e Direktivës 2015/843 të BE, si dhe kanë detyrimin për raportim tek autoriteti përgjegjës/ DPPPP (neni 12) për rastet e dyshuara. Por qenia në fuqi e këtyre dy dispozitave apo dispozitave në vijim të ligjit 9917/2008, apo miratimi i neneve shtesë që të detyrojnë raportimin e të dhënave në DPPPP nga institucionet financiare në funksion të ngritjes të regjistrit të llogarive bankare, nuk mund ta zgjidhë ligjërisht ngritjen e këtij sistemi. Rrjedhimisht nevojitet hartimi dhe miratimi i një ligji specifik që të jetë në përputhje me Direktivën 2015/849 dhe Direktivën 2019/1153</w:t>
      </w:r>
      <w:r w:rsidRPr="00006B53">
        <w:rPr>
          <w:color w:val="808080" w:themeColor="background1" w:themeShade="80"/>
          <w:szCs w:val="24"/>
          <w:lang w:val="sq-AL"/>
        </w:rPr>
        <w:t>.</w:t>
      </w:r>
    </w:p>
    <w:p w:rsidR="0016531A" w:rsidRPr="00006B53" w:rsidRDefault="0016531A" w:rsidP="00006B53">
      <w:pPr>
        <w:spacing w:before="240"/>
        <w:jc w:val="both"/>
        <w:rPr>
          <w:color w:val="808080" w:themeColor="background1" w:themeShade="80"/>
          <w:szCs w:val="24"/>
          <w:lang w:val="sq-AL"/>
        </w:rPr>
      </w:pPr>
    </w:p>
    <w:p w:rsidR="0016531A" w:rsidRPr="0016531A" w:rsidRDefault="0016531A" w:rsidP="0016531A">
      <w:pPr>
        <w:keepNext/>
        <w:keepLines/>
        <w:spacing w:line="276" w:lineRule="auto"/>
        <w:jc w:val="both"/>
        <w:outlineLvl w:val="0"/>
        <w:rPr>
          <w:rFonts w:eastAsiaTheme="majorEastAsia"/>
          <w:b/>
          <w:bCs/>
          <w:sz w:val="22"/>
          <w:szCs w:val="22"/>
          <w:lang w:val="sq-AL" w:eastAsia="en-US"/>
        </w:rPr>
      </w:pPr>
      <w:bookmarkStart w:id="8" w:name="_Toc506919738"/>
      <w:r w:rsidRPr="0016531A">
        <w:rPr>
          <w:rFonts w:eastAsiaTheme="majorEastAsia"/>
          <w:b/>
          <w:bCs/>
          <w:sz w:val="22"/>
          <w:szCs w:val="22"/>
          <w:lang w:val="sq-AL" w:eastAsia="en-US"/>
        </w:rPr>
        <w:lastRenderedPageBreak/>
        <w:t>Vlerësimi i opsioneve/analizimi i ndikimeve</w:t>
      </w:r>
    </w:p>
    <w:p w:rsidR="0016531A" w:rsidRPr="0016531A" w:rsidRDefault="0016531A" w:rsidP="0016531A">
      <w:pPr>
        <w:spacing w:line="276" w:lineRule="auto"/>
        <w:jc w:val="both"/>
        <w:rPr>
          <w:sz w:val="22"/>
          <w:szCs w:val="22"/>
          <w:lang w:val="sq-AL" w:eastAsia="en-US"/>
        </w:rPr>
      </w:pPr>
    </w:p>
    <w:p w:rsidR="0016531A" w:rsidRPr="0016531A" w:rsidRDefault="0016531A" w:rsidP="0016531A">
      <w:pPr>
        <w:numPr>
          <w:ilvl w:val="0"/>
          <w:numId w:val="24"/>
        </w:numPr>
        <w:tabs>
          <w:tab w:val="left" w:pos="567"/>
        </w:tabs>
        <w:spacing w:line="276" w:lineRule="auto"/>
        <w:jc w:val="both"/>
        <w:rPr>
          <w:i/>
          <w:sz w:val="22"/>
          <w:szCs w:val="22"/>
          <w:lang w:val="sq-AL" w:eastAsia="en-US"/>
        </w:rPr>
      </w:pPr>
      <w:r w:rsidRPr="0016531A">
        <w:rPr>
          <w:i/>
          <w:sz w:val="22"/>
          <w:szCs w:val="22"/>
          <w:lang w:val="sq-AL" w:eastAsia="en-US"/>
        </w:rPr>
        <w:t>Identifikoni se kush preket.</w:t>
      </w:r>
    </w:p>
    <w:p w:rsidR="0016531A" w:rsidRPr="0016531A" w:rsidRDefault="0016531A" w:rsidP="0016531A">
      <w:pPr>
        <w:numPr>
          <w:ilvl w:val="0"/>
          <w:numId w:val="24"/>
        </w:numPr>
        <w:tabs>
          <w:tab w:val="left" w:pos="567"/>
        </w:tabs>
        <w:spacing w:line="276" w:lineRule="auto"/>
        <w:ind w:left="540" w:hanging="180"/>
        <w:jc w:val="both"/>
        <w:rPr>
          <w:i/>
          <w:sz w:val="22"/>
          <w:szCs w:val="22"/>
          <w:lang w:val="sq-AL" w:eastAsia="en-US"/>
        </w:rPr>
      </w:pPr>
      <w:r w:rsidRPr="0016531A">
        <w:rPr>
          <w:i/>
          <w:sz w:val="22"/>
          <w:szCs w:val="22"/>
          <w:lang w:val="sq-AL" w:eastAsia="en-US"/>
        </w:rPr>
        <w:t>Identifikoni llojet e ndikimeve për secilin grup të prekur; bëni dallimin midis ndikimeve të drejtpërdrejta dhe jo të drejtpërdrejta.</w:t>
      </w:r>
    </w:p>
    <w:p w:rsidR="0016531A" w:rsidRPr="0016531A" w:rsidRDefault="0016531A" w:rsidP="0016531A">
      <w:pPr>
        <w:numPr>
          <w:ilvl w:val="0"/>
          <w:numId w:val="24"/>
        </w:numPr>
        <w:tabs>
          <w:tab w:val="left" w:pos="567"/>
        </w:tabs>
        <w:spacing w:line="276" w:lineRule="auto"/>
        <w:jc w:val="both"/>
        <w:rPr>
          <w:i/>
          <w:sz w:val="22"/>
          <w:szCs w:val="22"/>
          <w:lang w:val="sq-AL" w:eastAsia="en-US"/>
        </w:rPr>
      </w:pPr>
      <w:r w:rsidRPr="0016531A">
        <w:rPr>
          <w:i/>
          <w:sz w:val="22"/>
          <w:szCs w:val="22"/>
          <w:lang w:val="sq-AL" w:eastAsia="en-US"/>
        </w:rPr>
        <w:t xml:space="preserve">Për ndikimet e drejtpërdrejta: </w:t>
      </w:r>
    </w:p>
    <w:p w:rsidR="0016531A" w:rsidRPr="0016531A" w:rsidRDefault="0016531A" w:rsidP="0016531A">
      <w:pPr>
        <w:numPr>
          <w:ilvl w:val="1"/>
          <w:numId w:val="24"/>
        </w:numPr>
        <w:tabs>
          <w:tab w:val="left" w:pos="567"/>
        </w:tabs>
        <w:spacing w:line="276" w:lineRule="auto"/>
        <w:jc w:val="both"/>
        <w:rPr>
          <w:rFonts w:eastAsiaTheme="majorEastAsia"/>
          <w:i/>
          <w:sz w:val="22"/>
          <w:szCs w:val="22"/>
          <w:lang w:val="sq-AL" w:eastAsia="en-US"/>
        </w:rPr>
      </w:pPr>
      <w:r w:rsidRPr="0016531A">
        <w:rPr>
          <w:rFonts w:eastAsiaTheme="majorEastAsia"/>
          <w:i/>
          <w:sz w:val="22"/>
          <w:szCs w:val="22"/>
          <w:lang w:val="sq-AL" w:eastAsia="en-US"/>
        </w:rPr>
        <w:t>Përshkruani nga ana cilësore ndikimet e drejtpërdrejta mbi grupet e prekura.</w:t>
      </w:r>
    </w:p>
    <w:p w:rsidR="0016531A" w:rsidRPr="0016531A" w:rsidRDefault="0016531A" w:rsidP="0016531A">
      <w:pPr>
        <w:numPr>
          <w:ilvl w:val="1"/>
          <w:numId w:val="24"/>
        </w:numPr>
        <w:tabs>
          <w:tab w:val="left" w:pos="567"/>
        </w:tabs>
        <w:spacing w:line="276" w:lineRule="auto"/>
        <w:jc w:val="both"/>
        <w:rPr>
          <w:rFonts w:eastAsiaTheme="majorEastAsia"/>
          <w:i/>
          <w:sz w:val="22"/>
          <w:szCs w:val="22"/>
          <w:lang w:val="sq-AL" w:eastAsia="en-US"/>
        </w:rPr>
      </w:pPr>
      <w:r w:rsidRPr="0016531A">
        <w:rPr>
          <w:rFonts w:eastAsiaTheme="majorEastAsia"/>
          <w:i/>
          <w:sz w:val="22"/>
          <w:szCs w:val="22"/>
          <w:lang w:val="sq-AL" w:eastAsia="en-US"/>
        </w:rPr>
        <w:t>Analizoni nga ana sasiore ndikimet më të rëndësishme të drejtpërdrejta.</w:t>
      </w:r>
    </w:p>
    <w:p w:rsidR="0016531A" w:rsidRPr="0016531A" w:rsidRDefault="0016531A" w:rsidP="0016531A">
      <w:pPr>
        <w:numPr>
          <w:ilvl w:val="1"/>
          <w:numId w:val="24"/>
        </w:numPr>
        <w:tabs>
          <w:tab w:val="left" w:pos="567"/>
        </w:tabs>
        <w:spacing w:line="276" w:lineRule="auto"/>
        <w:jc w:val="both"/>
        <w:rPr>
          <w:rFonts w:eastAsiaTheme="majorEastAsia"/>
          <w:i/>
          <w:sz w:val="22"/>
          <w:szCs w:val="22"/>
          <w:lang w:val="sq-AL" w:eastAsia="en-US"/>
        </w:rPr>
      </w:pPr>
      <w:r w:rsidRPr="0016531A">
        <w:rPr>
          <w:rFonts w:eastAsiaTheme="majorEastAsia"/>
          <w:i/>
          <w:sz w:val="22"/>
          <w:szCs w:val="22"/>
          <w:lang w:val="sq-AL" w:eastAsia="en-US"/>
        </w:rPr>
        <w:t>Përcaktoni vlerën monetare të ndikimeve më të rëndësishme të drejtpërdrejta aty ku është e mundur (shih aneksin 1/a për tabelën që mund të përdorni).</w:t>
      </w:r>
    </w:p>
    <w:p w:rsidR="0016531A" w:rsidRPr="0016531A" w:rsidRDefault="0016531A" w:rsidP="0016531A">
      <w:pPr>
        <w:numPr>
          <w:ilvl w:val="1"/>
          <w:numId w:val="24"/>
        </w:numPr>
        <w:tabs>
          <w:tab w:val="left" w:pos="567"/>
        </w:tabs>
        <w:spacing w:line="276" w:lineRule="auto"/>
        <w:jc w:val="both"/>
        <w:rPr>
          <w:rFonts w:eastAsiaTheme="majorEastAsia"/>
          <w:i/>
          <w:sz w:val="22"/>
          <w:szCs w:val="22"/>
          <w:lang w:val="sq-AL" w:eastAsia="en-US"/>
        </w:rPr>
      </w:pPr>
      <w:r w:rsidRPr="0016531A">
        <w:rPr>
          <w:rFonts w:eastAsiaTheme="majorEastAsia"/>
          <w:i/>
          <w:sz w:val="22"/>
          <w:szCs w:val="22"/>
          <w:lang w:val="sq-AL" w:eastAsia="en-US"/>
        </w:rPr>
        <w:t>Analizoni ndikimin mbi ndërmarrjet e vogla dhe të mesme.</w:t>
      </w:r>
    </w:p>
    <w:p w:rsidR="0016531A" w:rsidRPr="0016531A" w:rsidRDefault="0016531A" w:rsidP="0016531A">
      <w:pPr>
        <w:numPr>
          <w:ilvl w:val="0"/>
          <w:numId w:val="24"/>
        </w:numPr>
        <w:tabs>
          <w:tab w:val="left" w:pos="567"/>
        </w:tabs>
        <w:spacing w:line="276" w:lineRule="auto"/>
        <w:jc w:val="both"/>
        <w:rPr>
          <w:i/>
          <w:sz w:val="22"/>
          <w:szCs w:val="22"/>
          <w:lang w:val="sq-AL" w:eastAsia="en-US"/>
        </w:rPr>
      </w:pPr>
      <w:r w:rsidRPr="0016531A">
        <w:rPr>
          <w:i/>
          <w:sz w:val="22"/>
          <w:szCs w:val="22"/>
          <w:lang w:val="sq-AL" w:eastAsia="en-US"/>
        </w:rPr>
        <w:t>Për ndikimet jo të drejtpërdrejta:</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rFonts w:eastAsiaTheme="majorEastAsia"/>
          <w:i/>
          <w:sz w:val="22"/>
          <w:szCs w:val="22"/>
          <w:lang w:val="sq-AL" w:eastAsia="en-US"/>
        </w:rPr>
        <w:t>Përshkruani nga ana cilësore ndikimet jo të drejtpërdrejta mbi grupet e prekura.</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rFonts w:eastAsiaTheme="majorEastAsia"/>
          <w:i/>
          <w:sz w:val="22"/>
          <w:szCs w:val="22"/>
          <w:lang w:val="sq-AL" w:eastAsia="en-US"/>
        </w:rPr>
        <w:t>Analizoni ndikimin mbi konkurrencën.</w:t>
      </w:r>
    </w:p>
    <w:p w:rsidR="0016531A" w:rsidRPr="0016531A" w:rsidRDefault="0016531A" w:rsidP="0016531A">
      <w:pPr>
        <w:numPr>
          <w:ilvl w:val="0"/>
          <w:numId w:val="24"/>
        </w:numPr>
        <w:tabs>
          <w:tab w:val="left" w:pos="567"/>
        </w:tabs>
        <w:spacing w:line="276" w:lineRule="auto"/>
        <w:jc w:val="both"/>
        <w:rPr>
          <w:i/>
          <w:sz w:val="22"/>
          <w:szCs w:val="22"/>
          <w:lang w:val="sq-AL" w:eastAsia="en-US"/>
        </w:rPr>
      </w:pPr>
      <w:r w:rsidRPr="0016531A">
        <w:rPr>
          <w:i/>
          <w:sz w:val="22"/>
          <w:szCs w:val="22"/>
          <w:lang w:val="sq-AL" w:eastAsia="en-US"/>
        </w:rPr>
        <w:t>Diskutoni kufizimin e analizës:</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Jepni supozimet në të cilat janë bazuar parashikimet dhe rreziqet, të cilave ato u nënshtrohen.</w:t>
      </w:r>
      <w:r w:rsidRPr="0016531A">
        <w:rPr>
          <w:sz w:val="22"/>
          <w:szCs w:val="22"/>
          <w:lang w:val="sq-AL" w:eastAsia="en-US"/>
        </w:rPr>
        <w:t xml:space="preserve"> </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Tregoni sa të forta, të pavarura dhe të rëndësishme janë provat që mbështesin supozimet.</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Tregoni se çfarë mund të pengojë realizimin e përfitimeve, të rrisë kostot ose të sjellë pasoja të papritura.</w:t>
      </w:r>
    </w:p>
    <w:p w:rsidR="0016531A" w:rsidRPr="0016531A" w:rsidRDefault="0016531A" w:rsidP="0016531A">
      <w:pPr>
        <w:numPr>
          <w:ilvl w:val="0"/>
          <w:numId w:val="24"/>
        </w:numPr>
        <w:tabs>
          <w:tab w:val="left" w:pos="567"/>
        </w:tabs>
        <w:spacing w:line="276" w:lineRule="auto"/>
        <w:jc w:val="both"/>
        <w:rPr>
          <w:i/>
          <w:sz w:val="22"/>
          <w:szCs w:val="22"/>
          <w:lang w:val="sq-AL" w:eastAsia="en-US"/>
        </w:rPr>
      </w:pPr>
      <w:r w:rsidRPr="0016531A">
        <w:rPr>
          <w:i/>
          <w:sz w:val="22"/>
          <w:szCs w:val="22"/>
          <w:lang w:val="sq-AL" w:eastAsia="en-US"/>
        </w:rPr>
        <w:t>Përmblidhni vlerësimin e opsioneve:</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 xml:space="preserve"> Paraqisni një pasqyrë përmbledhëse të të gjitha ndikimeve të opsioneve të analizuara.</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Shpjegoni se si ndikimet e të gjitha opsioneve të analizuara krahasohen me njëra-tjetrën.</w:t>
      </w:r>
    </w:p>
    <w:p w:rsidR="0016531A" w:rsidRPr="0016531A" w:rsidRDefault="0016531A" w:rsidP="0016531A">
      <w:pPr>
        <w:numPr>
          <w:ilvl w:val="1"/>
          <w:numId w:val="24"/>
        </w:numPr>
        <w:tabs>
          <w:tab w:val="left" w:pos="567"/>
        </w:tabs>
        <w:spacing w:line="276" w:lineRule="auto"/>
        <w:jc w:val="both"/>
        <w:rPr>
          <w:i/>
          <w:sz w:val="22"/>
          <w:szCs w:val="22"/>
          <w:lang w:val="sq-AL" w:eastAsia="en-US"/>
        </w:rPr>
      </w:pPr>
      <w:r w:rsidRPr="0016531A">
        <w:rPr>
          <w:i/>
          <w:sz w:val="22"/>
          <w:szCs w:val="22"/>
          <w:lang w:val="sq-AL" w:eastAsia="en-US"/>
        </w:rPr>
        <w:t>Paraqisni përllogaritjet më të mira të përgjithshme neto të ndikimit me vlerë monetare të përcaktuar për çdo opsion (shih aneksin 1/b për tabelën që mund të përdorni).</w:t>
      </w:r>
    </w:p>
    <w:p w:rsidR="002125B7" w:rsidRPr="0032145B" w:rsidRDefault="002125B7" w:rsidP="0016531A">
      <w:pPr>
        <w:pStyle w:val="BodyText"/>
        <w:tabs>
          <w:tab w:val="left" w:pos="567"/>
        </w:tabs>
        <w:spacing w:after="0" w:line="276" w:lineRule="auto"/>
        <w:ind w:left="1440"/>
        <w:jc w:val="both"/>
        <w:rPr>
          <w:rFonts w:cs="Times New Roman"/>
          <w:i/>
          <w:sz w:val="24"/>
          <w:szCs w:val="24"/>
          <w:lang w:val="sq-AL"/>
        </w:rPr>
      </w:pPr>
    </w:p>
    <w:bookmarkEnd w:id="8"/>
    <w:p w:rsidR="00563378" w:rsidRDefault="00B16AC8" w:rsidP="001E1501">
      <w:pPr>
        <w:spacing w:before="240"/>
        <w:jc w:val="both"/>
        <w:rPr>
          <w:rFonts w:eastAsiaTheme="majorEastAsia"/>
          <w:color w:val="808080" w:themeColor="background1" w:themeShade="80"/>
        </w:rPr>
      </w:pPr>
      <w:sdt>
        <w:sdtPr>
          <w:rPr>
            <w:rFonts w:eastAsiaTheme="majorEastAsia"/>
            <w:color w:val="808080" w:themeColor="background1" w:themeShade="80"/>
          </w:rPr>
          <w:id w:val="1625265021"/>
          <w:placeholder>
            <w:docPart w:val="867EF0DB10CB4A10BB29112D1FCD9786"/>
          </w:placeholder>
        </w:sdtPr>
        <w:sdtEndPr/>
        <w:sdtContent>
          <w:r w:rsidR="001E1501" w:rsidRPr="001E1501">
            <w:rPr>
              <w:rFonts w:eastAsiaTheme="majorEastAsia"/>
            </w:rPr>
            <w:t xml:space="preserve">Aktualisht Shqipëria nuk ka një regjistër qëndror të llogarive bankare që të mundësojë kontrollin në kohë reale të saktësisë dhe përditësimit të informacionit lidhur me mbajtësit e llogarive bankare dhe kasetave të sigurisë, me qëllim përpunimin dhe analizimin e informacionit për institucionet ligj zbatuese lidhur me kanalizimin e transaksioneve drejt sistemit bankar, kufizimin e përdorimit të parasë fizike, forcimin e mbikëqyrjes dhe rritjen e transparencës, me synimin për të parandaluar e luftuar fenomenin e pastrimit të parave dhe financimit të terrorizmit, për të krijuar një mjedis sa më të shëndetshëm për ekonominë dhe sigurinë në vendin tone. Ky projektligj shtrin funksionet e tij mbi çdo mbajtës të llogarisë bankare apo kasetave të sigurisë, i cili mund të jetë individi, personi fizik apo personi juridik në emër të të cilit është e regjistruar llogaria bankare pranë një institucioni financiar, apo që vepron si përfaqësues apo i autorizuar mbi bazë të një marrëveshje </w:t>
          </w:r>
          <w:r w:rsidR="001E1501" w:rsidRPr="001E1501">
            <w:rPr>
              <w:rFonts w:eastAsiaTheme="majorEastAsia"/>
            </w:rPr>
            <w:lastRenderedPageBreak/>
            <w:t>apo akti përfaqësimi dhe mund të kryejë veprime në emër të mbajtësit të llogarisë apo kasetës së sigurisë.  Zbatimi i dispozitave të këtij projektligji do të përmbushet nga: institucionet financiare/subjekte të cilat ushtrojnë  veprimtari financiare në Republikën e Shqipërisë të licencuar nga Banka e Shqipërisë dhe që ofron kontrata të llogarive bankare apo shërbimin e kasetave të sigurisë; nga Ministria e Financave dhe Ekonomisë, Drejtoria e Përgjithshme e Tatimeve, Agjencia Kombëtare për Shoqërinë e  informacionit.  Ndërkohë që Prokuroria; Prokuroria e Posaçme Kundër Korrupsionit dhe Krimit të Organizuar; Drejtoria e Përgjithshme e Policisë së Shtetit; Byroja Kombëtare e Hetimit, Drejtoria e Përgjithshme e Parandalimit të Pastrimit të Parve dhe Shërbimi Informativ Shtetëror, janë autoritetet shtetërore të cilave ju mundësohet aksesi në të dhënat e këtij regjistri, në funksion të ushtrimit të funksioneve të tyre</w:t>
          </w:r>
        </w:sdtContent>
      </w:sdt>
      <w:r w:rsidR="00563378" w:rsidRPr="00563378">
        <w:rPr>
          <w:rFonts w:eastAsiaTheme="majorEastAsia"/>
          <w:color w:val="808080" w:themeColor="background1" w:themeShade="80"/>
        </w:rPr>
        <w:t>.</w:t>
      </w:r>
    </w:p>
    <w:p w:rsidR="00817427" w:rsidRPr="00FC22E7" w:rsidRDefault="00817427" w:rsidP="001E1501">
      <w:pPr>
        <w:spacing w:before="240"/>
        <w:jc w:val="both"/>
        <w:rPr>
          <w:rFonts w:eastAsiaTheme="majorEastAsia"/>
        </w:rPr>
      </w:pPr>
      <w:r w:rsidRPr="00FC22E7">
        <w:rPr>
          <w:rFonts w:eastAsiaTheme="majorEastAsia"/>
        </w:rPr>
        <w:t>Strukturat t</w:t>
      </w:r>
      <w:r w:rsidR="00FC22E7" w:rsidRPr="00FC22E7">
        <w:rPr>
          <w:rFonts w:eastAsiaTheme="majorEastAsia"/>
        </w:rPr>
        <w:t>ë</w:t>
      </w:r>
      <w:r w:rsidRPr="00FC22E7">
        <w:rPr>
          <w:rFonts w:eastAsiaTheme="majorEastAsia"/>
        </w:rPr>
        <w:t xml:space="preserve"> cilat do t</w:t>
      </w:r>
      <w:r w:rsidR="00FC22E7" w:rsidRPr="00FC22E7">
        <w:rPr>
          <w:rFonts w:eastAsiaTheme="majorEastAsia"/>
        </w:rPr>
        <w:t>ë</w:t>
      </w:r>
      <w:r w:rsidRPr="00FC22E7">
        <w:rPr>
          <w:rFonts w:eastAsiaTheme="majorEastAsia"/>
        </w:rPr>
        <w:t xml:space="preserve"> aksesojn</w:t>
      </w:r>
      <w:r w:rsidR="00FC22E7" w:rsidRPr="00FC22E7">
        <w:rPr>
          <w:rFonts w:eastAsiaTheme="majorEastAsia"/>
        </w:rPr>
        <w:t>ë</w:t>
      </w:r>
      <w:r w:rsidR="00FC22E7">
        <w:rPr>
          <w:rFonts w:eastAsiaTheme="majorEastAsia"/>
        </w:rPr>
        <w:t xml:space="preserve"> direk</w:t>
      </w:r>
      <w:r w:rsidRPr="00FC22E7">
        <w:rPr>
          <w:rFonts w:eastAsiaTheme="majorEastAsia"/>
        </w:rPr>
        <w:t>t rregjistrin, n</w:t>
      </w:r>
      <w:r w:rsidR="00FC22E7" w:rsidRPr="00FC22E7">
        <w:rPr>
          <w:rFonts w:eastAsiaTheme="majorEastAsia"/>
        </w:rPr>
        <w:t>ë</w:t>
      </w:r>
      <w:r w:rsidRPr="00FC22E7">
        <w:rPr>
          <w:rFonts w:eastAsiaTheme="majorEastAsia"/>
        </w:rPr>
        <w:t xml:space="preserve"> k</w:t>
      </w:r>
      <w:r w:rsidR="00FC22E7" w:rsidRPr="00FC22E7">
        <w:rPr>
          <w:rFonts w:eastAsiaTheme="majorEastAsia"/>
        </w:rPr>
        <w:t>ë</w:t>
      </w:r>
      <w:r w:rsidRPr="00FC22E7">
        <w:rPr>
          <w:rFonts w:eastAsiaTheme="majorEastAsia"/>
        </w:rPr>
        <w:t>t</w:t>
      </w:r>
      <w:r w:rsidR="00FC22E7" w:rsidRPr="00FC22E7">
        <w:rPr>
          <w:rFonts w:eastAsiaTheme="majorEastAsia"/>
        </w:rPr>
        <w:t>ë</w:t>
      </w:r>
      <w:r w:rsidRPr="00FC22E7">
        <w:rPr>
          <w:rFonts w:eastAsiaTheme="majorEastAsia"/>
        </w:rPr>
        <w:t xml:space="preserve"> rast nuk do t</w:t>
      </w:r>
      <w:r w:rsidR="00FC22E7" w:rsidRPr="00FC22E7">
        <w:rPr>
          <w:rFonts w:eastAsiaTheme="majorEastAsia"/>
        </w:rPr>
        <w:t>ë</w:t>
      </w:r>
      <w:r w:rsidRPr="00FC22E7">
        <w:rPr>
          <w:rFonts w:eastAsiaTheme="majorEastAsia"/>
        </w:rPr>
        <w:t xml:space="preserve"> ket</w:t>
      </w:r>
      <w:r w:rsidR="00FC22E7" w:rsidRPr="00FC22E7">
        <w:rPr>
          <w:rFonts w:eastAsiaTheme="majorEastAsia"/>
        </w:rPr>
        <w:t>ë</w:t>
      </w:r>
      <w:r w:rsidRPr="00FC22E7">
        <w:rPr>
          <w:rFonts w:eastAsiaTheme="majorEastAsia"/>
        </w:rPr>
        <w:t xml:space="preserve"> kosto pasi do jene vet</w:t>
      </w:r>
      <w:r w:rsidR="00FC22E7" w:rsidRPr="00FC22E7">
        <w:rPr>
          <w:rFonts w:eastAsiaTheme="majorEastAsia"/>
        </w:rPr>
        <w:t>ë</w:t>
      </w:r>
      <w:r w:rsidRPr="00FC22E7">
        <w:rPr>
          <w:rFonts w:eastAsiaTheme="majorEastAsia"/>
        </w:rPr>
        <w:t>m p</w:t>
      </w:r>
      <w:r w:rsidR="00FC22E7" w:rsidRPr="00FC22E7">
        <w:rPr>
          <w:rFonts w:eastAsiaTheme="majorEastAsia"/>
        </w:rPr>
        <w:t>ë</w:t>
      </w:r>
      <w:r w:rsidRPr="00FC22E7">
        <w:rPr>
          <w:rFonts w:eastAsiaTheme="majorEastAsia"/>
        </w:rPr>
        <w:t>rdorues t</w:t>
      </w:r>
      <w:r w:rsidR="00FC22E7" w:rsidRPr="00FC22E7">
        <w:rPr>
          <w:rFonts w:eastAsiaTheme="majorEastAsia"/>
        </w:rPr>
        <w:t>ë</w:t>
      </w:r>
      <w:r w:rsidRPr="00FC22E7">
        <w:rPr>
          <w:rFonts w:eastAsiaTheme="majorEastAsia"/>
        </w:rPr>
        <w:t xml:space="preserve"> sistemit q</w:t>
      </w:r>
      <w:r w:rsidR="00FC22E7" w:rsidRPr="00FC22E7">
        <w:rPr>
          <w:rFonts w:eastAsiaTheme="majorEastAsia"/>
        </w:rPr>
        <w:t>ë</w:t>
      </w:r>
      <w:r w:rsidRPr="00FC22E7">
        <w:rPr>
          <w:rFonts w:eastAsiaTheme="majorEastAsia"/>
        </w:rPr>
        <w:t xml:space="preserve"> do krijohet pran</w:t>
      </w:r>
      <w:r w:rsidR="00FC22E7" w:rsidRPr="00FC22E7">
        <w:rPr>
          <w:rFonts w:eastAsiaTheme="majorEastAsia"/>
        </w:rPr>
        <w:t>ë</w:t>
      </w:r>
      <w:r w:rsidRPr="00FC22E7">
        <w:rPr>
          <w:rFonts w:eastAsiaTheme="majorEastAsia"/>
        </w:rPr>
        <w:t xml:space="preserve"> DPT.   Strukturat e tjera do t</w:t>
      </w:r>
      <w:r w:rsidR="00FC22E7" w:rsidRPr="00FC22E7">
        <w:rPr>
          <w:rFonts w:eastAsiaTheme="majorEastAsia"/>
        </w:rPr>
        <w:t>ë</w:t>
      </w:r>
      <w:r w:rsidRPr="00FC22E7">
        <w:rPr>
          <w:rFonts w:eastAsiaTheme="majorEastAsia"/>
        </w:rPr>
        <w:t xml:space="preserve"> k</w:t>
      </w:r>
      <w:r w:rsidR="00FC22E7" w:rsidRPr="00FC22E7">
        <w:rPr>
          <w:rFonts w:eastAsiaTheme="majorEastAsia"/>
        </w:rPr>
        <w:t>ë</w:t>
      </w:r>
      <w:r w:rsidRPr="00FC22E7">
        <w:rPr>
          <w:rFonts w:eastAsiaTheme="majorEastAsia"/>
        </w:rPr>
        <w:t>rkojn</w:t>
      </w:r>
      <w:r w:rsidR="00FC22E7" w:rsidRPr="00FC22E7">
        <w:rPr>
          <w:rFonts w:eastAsiaTheme="majorEastAsia"/>
        </w:rPr>
        <w:t>ë</w:t>
      </w:r>
      <w:r w:rsidR="00FC22E7">
        <w:rPr>
          <w:rFonts w:eastAsiaTheme="majorEastAsia"/>
        </w:rPr>
        <w:t xml:space="preserve"> shkr</w:t>
      </w:r>
      <w:r w:rsidRPr="00FC22E7">
        <w:rPr>
          <w:rFonts w:eastAsiaTheme="majorEastAsia"/>
        </w:rPr>
        <w:t>es</w:t>
      </w:r>
      <w:r w:rsidR="00FC22E7" w:rsidRPr="00FC22E7">
        <w:rPr>
          <w:rFonts w:eastAsiaTheme="majorEastAsia"/>
        </w:rPr>
        <w:t>ë</w:t>
      </w:r>
      <w:r w:rsidRPr="00FC22E7">
        <w:rPr>
          <w:rFonts w:eastAsiaTheme="majorEastAsia"/>
        </w:rPr>
        <w:t>risht pran</w:t>
      </w:r>
      <w:r w:rsidR="00FC22E7" w:rsidRPr="00FC22E7">
        <w:rPr>
          <w:rFonts w:eastAsiaTheme="majorEastAsia"/>
        </w:rPr>
        <w:t>ë</w:t>
      </w:r>
      <w:r w:rsidRPr="00FC22E7">
        <w:rPr>
          <w:rFonts w:eastAsiaTheme="majorEastAsia"/>
        </w:rPr>
        <w:t xml:space="preserve"> DPT marrjen e t</w:t>
      </w:r>
      <w:r w:rsidR="00FC22E7" w:rsidRPr="00FC22E7">
        <w:rPr>
          <w:rFonts w:eastAsiaTheme="majorEastAsia"/>
        </w:rPr>
        <w:t>ë</w:t>
      </w:r>
      <w:r w:rsidRPr="00FC22E7">
        <w:rPr>
          <w:rFonts w:eastAsiaTheme="majorEastAsia"/>
        </w:rPr>
        <w:t xml:space="preserve"> dh</w:t>
      </w:r>
      <w:r w:rsidR="00FC22E7" w:rsidRPr="00FC22E7">
        <w:rPr>
          <w:rFonts w:eastAsiaTheme="majorEastAsia"/>
        </w:rPr>
        <w:t>ë</w:t>
      </w:r>
      <w:r w:rsidRPr="00FC22E7">
        <w:rPr>
          <w:rFonts w:eastAsiaTheme="majorEastAsia"/>
        </w:rPr>
        <w:t>nave sipas afateve t</w:t>
      </w:r>
      <w:r w:rsidR="00FC22E7" w:rsidRPr="00FC22E7">
        <w:rPr>
          <w:rFonts w:eastAsiaTheme="majorEastAsia"/>
        </w:rPr>
        <w:t>ë</w:t>
      </w:r>
      <w:r w:rsidRPr="00FC22E7">
        <w:rPr>
          <w:rFonts w:eastAsiaTheme="majorEastAsia"/>
        </w:rPr>
        <w:t xml:space="preserve"> p</w:t>
      </w:r>
      <w:r w:rsidR="00FC22E7" w:rsidRPr="00FC22E7">
        <w:rPr>
          <w:rFonts w:eastAsiaTheme="majorEastAsia"/>
        </w:rPr>
        <w:t>ë</w:t>
      </w:r>
      <w:r w:rsidRPr="00FC22E7">
        <w:rPr>
          <w:rFonts w:eastAsiaTheme="majorEastAsia"/>
        </w:rPr>
        <w:t>rcaktuaran n</w:t>
      </w:r>
      <w:r w:rsidR="00FC22E7" w:rsidRPr="00FC22E7">
        <w:rPr>
          <w:rFonts w:eastAsiaTheme="majorEastAsia"/>
        </w:rPr>
        <w:t>ë</w:t>
      </w:r>
      <w:r w:rsidRPr="00FC22E7">
        <w:rPr>
          <w:rFonts w:eastAsiaTheme="majorEastAsia"/>
        </w:rPr>
        <w:t xml:space="preserve"> ligj.</w:t>
      </w:r>
    </w:p>
    <w:p w:rsidR="00817427" w:rsidRPr="0016531A" w:rsidRDefault="00817427" w:rsidP="001E1501">
      <w:pPr>
        <w:spacing w:before="240"/>
        <w:jc w:val="both"/>
        <w:rPr>
          <w:rFonts w:eastAsiaTheme="majorEastAsia"/>
        </w:rPr>
      </w:pPr>
      <w:r w:rsidRPr="00FC22E7">
        <w:rPr>
          <w:rFonts w:eastAsiaTheme="majorEastAsia"/>
        </w:rPr>
        <w:t>Lidhur me burimet njer</w:t>
      </w:r>
      <w:r w:rsidR="00FC22E7" w:rsidRPr="00FC22E7">
        <w:rPr>
          <w:rFonts w:eastAsiaTheme="majorEastAsia"/>
        </w:rPr>
        <w:t>ë</w:t>
      </w:r>
      <w:r w:rsidRPr="00FC22E7">
        <w:rPr>
          <w:rFonts w:eastAsiaTheme="majorEastAsia"/>
        </w:rPr>
        <w:t>zore sqarojm</w:t>
      </w:r>
      <w:r w:rsidR="00FC22E7" w:rsidRPr="00FC22E7">
        <w:rPr>
          <w:rFonts w:eastAsiaTheme="majorEastAsia"/>
        </w:rPr>
        <w:t>ë</w:t>
      </w:r>
      <w:r w:rsidRPr="00FC22E7">
        <w:rPr>
          <w:rFonts w:eastAsiaTheme="majorEastAsia"/>
        </w:rPr>
        <w:t xml:space="preserve"> se DPT ka struktura t</w:t>
      </w:r>
      <w:r w:rsidR="00FC22E7" w:rsidRPr="00FC22E7">
        <w:rPr>
          <w:rFonts w:eastAsiaTheme="majorEastAsia"/>
        </w:rPr>
        <w:t>ë</w:t>
      </w:r>
      <w:r w:rsidRPr="00FC22E7">
        <w:rPr>
          <w:rFonts w:eastAsiaTheme="majorEastAsia"/>
        </w:rPr>
        <w:t xml:space="preserve"> afta p</w:t>
      </w:r>
      <w:r w:rsidR="00FC22E7" w:rsidRPr="00FC22E7">
        <w:rPr>
          <w:rFonts w:eastAsiaTheme="majorEastAsia"/>
        </w:rPr>
        <w:t>ë</w:t>
      </w:r>
      <w:r w:rsidRPr="00FC22E7">
        <w:rPr>
          <w:rFonts w:eastAsiaTheme="majorEastAsia"/>
        </w:rPr>
        <w:t>r t</w:t>
      </w:r>
      <w:r w:rsidR="00FC22E7" w:rsidRPr="00FC22E7">
        <w:rPr>
          <w:rFonts w:eastAsiaTheme="majorEastAsia"/>
        </w:rPr>
        <w:t>ë</w:t>
      </w:r>
      <w:r w:rsidRPr="00FC22E7">
        <w:rPr>
          <w:rFonts w:eastAsiaTheme="majorEastAsia"/>
        </w:rPr>
        <w:t xml:space="preserve"> manaxhuar dhe mir</w:t>
      </w:r>
      <w:r w:rsidR="00FC22E7" w:rsidRPr="00FC22E7">
        <w:rPr>
          <w:rFonts w:eastAsiaTheme="majorEastAsia"/>
        </w:rPr>
        <w:t>ë</w:t>
      </w:r>
      <w:r w:rsidRPr="00FC22E7">
        <w:rPr>
          <w:rFonts w:eastAsiaTheme="majorEastAsia"/>
        </w:rPr>
        <w:t>mbajtur k</w:t>
      </w:r>
      <w:r w:rsidR="00FC22E7" w:rsidRPr="00FC22E7">
        <w:rPr>
          <w:rFonts w:eastAsiaTheme="majorEastAsia"/>
        </w:rPr>
        <w:t>ë</w:t>
      </w:r>
      <w:r w:rsidRPr="00FC22E7">
        <w:rPr>
          <w:rFonts w:eastAsiaTheme="majorEastAsia"/>
        </w:rPr>
        <w:t>t</w:t>
      </w:r>
      <w:r w:rsidR="00FC22E7" w:rsidRPr="00FC22E7">
        <w:rPr>
          <w:rFonts w:eastAsiaTheme="majorEastAsia"/>
        </w:rPr>
        <w:t>ë</w:t>
      </w:r>
      <w:r w:rsidR="00FC22E7">
        <w:rPr>
          <w:rFonts w:eastAsiaTheme="majorEastAsia"/>
        </w:rPr>
        <w:t xml:space="preserve"> si</w:t>
      </w:r>
      <w:r w:rsidRPr="00FC22E7">
        <w:rPr>
          <w:rFonts w:eastAsiaTheme="majorEastAsia"/>
        </w:rPr>
        <w:t>stem, nuk ka nevoj</w:t>
      </w:r>
      <w:r w:rsidR="00FC22E7" w:rsidRPr="00FC22E7">
        <w:rPr>
          <w:rFonts w:eastAsiaTheme="majorEastAsia"/>
        </w:rPr>
        <w:t>ë</w:t>
      </w:r>
      <w:r w:rsidRPr="00FC22E7">
        <w:rPr>
          <w:rFonts w:eastAsiaTheme="majorEastAsia"/>
        </w:rPr>
        <w:t xml:space="preserve"> p</w:t>
      </w:r>
      <w:r w:rsidR="00FC22E7" w:rsidRPr="00FC22E7">
        <w:rPr>
          <w:rFonts w:eastAsiaTheme="majorEastAsia"/>
        </w:rPr>
        <w:t>ë</w:t>
      </w:r>
      <w:r w:rsidRPr="00FC22E7">
        <w:rPr>
          <w:rFonts w:eastAsiaTheme="majorEastAsia"/>
        </w:rPr>
        <w:t>r burime shtes</w:t>
      </w:r>
      <w:r w:rsidR="00FC22E7" w:rsidRPr="00FC22E7">
        <w:rPr>
          <w:rFonts w:eastAsiaTheme="majorEastAsia"/>
        </w:rPr>
        <w:t>ë</w:t>
      </w:r>
      <w:r w:rsidRPr="00FC22E7">
        <w:rPr>
          <w:rFonts w:eastAsiaTheme="majorEastAsia"/>
        </w:rPr>
        <w:t>.</w:t>
      </w:r>
    </w:p>
    <w:p w:rsidR="00817427" w:rsidRPr="00B241A7" w:rsidRDefault="002125B7" w:rsidP="00B241A7">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rsidR="0097570D"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rsidR="002125B7"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9" w:name="_Toc506919739" w:displacedByCustomXml="prev"/>
    <w:p w:rsidR="00006B53" w:rsidRDefault="00006B53" w:rsidP="002555BE">
      <w:pPr>
        <w:pStyle w:val="Heading1"/>
        <w:spacing w:line="276" w:lineRule="auto"/>
        <w:jc w:val="both"/>
        <w:rPr>
          <w:rFonts w:ascii="Times New Roman" w:eastAsiaTheme="majorEastAsia" w:hAnsi="Times New Roman" w:cs="Times New Roman"/>
          <w:b w:val="0"/>
          <w:bCs w:val="0"/>
          <w:spacing w:val="0"/>
          <w:kern w:val="0"/>
          <w:sz w:val="24"/>
          <w:szCs w:val="20"/>
        </w:rPr>
      </w:pPr>
      <w:r w:rsidRPr="00225D0A">
        <w:rPr>
          <w:rFonts w:ascii="Times New Roman" w:eastAsiaTheme="majorEastAsia" w:hAnsi="Times New Roman" w:cs="Times New Roman"/>
          <w:b w:val="0"/>
          <w:bCs w:val="0"/>
          <w:spacing w:val="0"/>
          <w:kern w:val="0"/>
          <w:sz w:val="24"/>
          <w:szCs w:val="20"/>
        </w:rPr>
        <w:t xml:space="preserve">Hartimi dhe miratimi i një ligji të ri: Hartimi i një ligji të ri/ ligj specifik, është një mundësi për të përmbushur qëllimin për krijimin e një kuadri rregullator unifikues për ngritjen e regjistrit të llogarive bankare. Kjo, nisur nga fakti që ky është një proces që do të kryhet për herë të parë në Shqipëri, dhe si i tillë nuk ka pasur bazë ligjore për zbatimin e tij. Hartimi i një ligji të ri, meqenëse kemi të bëjmë me një procedure krejtësisht të re, është një opsion për të bërë të mundur krijimin e regjistrit të llogarive bankare dhe më pas implementimin e tij në përputhje dhe direktivat respektive të B.E në këtë fushë. </w:t>
      </w:r>
    </w:p>
    <w:p w:rsidR="005936A3" w:rsidRPr="005936A3" w:rsidRDefault="005936A3" w:rsidP="002555BE">
      <w:pPr>
        <w:jc w:val="both"/>
        <w:rPr>
          <w:rFonts w:eastAsiaTheme="majorEastAsia"/>
        </w:rPr>
      </w:pPr>
      <w:r w:rsidRPr="005936A3">
        <w:rPr>
          <w:rFonts w:eastAsiaTheme="majorEastAsia"/>
        </w:rPr>
        <w:t>P</w:t>
      </w:r>
      <w:r w:rsidR="008E63A7">
        <w:rPr>
          <w:rFonts w:eastAsiaTheme="majorEastAsia"/>
        </w:rPr>
        <w:t>ë</w:t>
      </w:r>
      <w:r w:rsidRPr="005936A3">
        <w:rPr>
          <w:rFonts w:eastAsiaTheme="majorEastAsia"/>
        </w:rPr>
        <w:t xml:space="preserve">r me teper, hartimi </w:t>
      </w:r>
      <w:r>
        <w:rPr>
          <w:rFonts w:eastAsiaTheme="majorEastAsia"/>
        </w:rPr>
        <w:t>i</w:t>
      </w:r>
      <w:r w:rsidRPr="005936A3">
        <w:rPr>
          <w:rFonts w:eastAsiaTheme="majorEastAsia"/>
        </w:rPr>
        <w:t xml:space="preserve"> nje ligji te ri do te mundesonte zbatimin e rekomandimeve te FATF, transpozimin e plote te direktives 849/2015 si dhe eshte opsioni </w:t>
      </w:r>
      <w:r>
        <w:rPr>
          <w:rFonts w:eastAsiaTheme="majorEastAsia"/>
        </w:rPr>
        <w:t>i</w:t>
      </w:r>
      <w:r w:rsidRPr="005936A3">
        <w:rPr>
          <w:rFonts w:eastAsiaTheme="majorEastAsia"/>
        </w:rPr>
        <w:t xml:space="preserve"> vetem per te zbatuar qellimin dhe objektivat e vendosura. Pasi, ndryshimi </w:t>
      </w:r>
      <w:r>
        <w:rPr>
          <w:rFonts w:eastAsiaTheme="majorEastAsia"/>
        </w:rPr>
        <w:t>i</w:t>
      </w:r>
      <w:r w:rsidRPr="005936A3">
        <w:rPr>
          <w:rFonts w:eastAsiaTheme="majorEastAsia"/>
        </w:rPr>
        <w:t xml:space="preserve"> ligjit 9920/2008 nuk do te bente te mundur shtimin e dispozitave qe dalin tej qellimit te tij e per rrjedhoje dhe objektivat e lartpermendura nuk do mund te realizoheshin.</w:t>
      </w:r>
    </w:p>
    <w:p w:rsidR="00006B53" w:rsidRDefault="00006B53" w:rsidP="002555BE">
      <w:pPr>
        <w:pStyle w:val="Heading1"/>
        <w:spacing w:line="276" w:lineRule="auto"/>
        <w:jc w:val="both"/>
        <w:rPr>
          <w:rFonts w:ascii="Times New Roman" w:eastAsiaTheme="majorEastAsia" w:hAnsi="Times New Roman" w:cs="Times New Roman"/>
          <w:b w:val="0"/>
          <w:bCs w:val="0"/>
          <w:spacing w:val="0"/>
          <w:kern w:val="0"/>
          <w:sz w:val="24"/>
          <w:szCs w:val="20"/>
        </w:rPr>
      </w:pPr>
      <w:r w:rsidRPr="00225D0A">
        <w:rPr>
          <w:rFonts w:ascii="Times New Roman" w:eastAsiaTheme="majorEastAsia" w:hAnsi="Times New Roman" w:cs="Times New Roman"/>
          <w:b w:val="0"/>
          <w:bCs w:val="0"/>
          <w:spacing w:val="0"/>
          <w:kern w:val="0"/>
          <w:sz w:val="24"/>
          <w:szCs w:val="20"/>
        </w:rPr>
        <w:t>Duke qenë se aktorët kryesorë që do të mundësojnë të dhënat për krijimin e regjistrit të llogarive bankare janë kryesisht bankat e nivelit të dytë, patjetër që ligji i ri duhet të jetë në harmoni dhe me ligjet kryesore që rregullojnë sektorin bankar në Republikën e Shqipërisë, ku përmendim; ligjin nr. 8269, datë 23.12.1997 “Për Bankën e Shqipërisë”, i ndryshuar, ligjin nr. 9662, datë 18.12.2006 “Për bankat në Republikën e Shqipërisë”, i ndryshuar, si dhe ligjin nr.9887, datë 10.3.2008 “Për mbrojtjen e të dhënave personale”, i ndryshuar.</w:t>
      </w:r>
    </w:p>
    <w:p w:rsidR="007467D1" w:rsidRDefault="007467D1" w:rsidP="007467D1">
      <w:pPr>
        <w:rPr>
          <w:rFonts w:eastAsiaTheme="majorEastAsia"/>
        </w:rPr>
      </w:pPr>
    </w:p>
    <w:p w:rsidR="007467D1" w:rsidRPr="007467D1" w:rsidRDefault="007467D1" w:rsidP="007467D1">
      <w:pPr>
        <w:jc w:val="both"/>
        <w:rPr>
          <w:b/>
          <w:szCs w:val="24"/>
          <w:lang w:val="sq-AL" w:eastAsia="en-US"/>
        </w:rPr>
      </w:pPr>
      <w:r w:rsidRPr="007467D1">
        <w:rPr>
          <w:rFonts w:eastAsiaTheme="minorHAnsi"/>
          <w:i/>
          <w:iCs/>
          <w:color w:val="000000"/>
          <w:szCs w:val="24"/>
          <w:lang w:val="sq-AL" w:eastAsia="en-US"/>
        </w:rPr>
        <w:lastRenderedPageBreak/>
        <w:t>Matrica e performancës së opsioneve</w:t>
      </w:r>
    </w:p>
    <w:p w:rsidR="007467D1" w:rsidRPr="007467D1" w:rsidRDefault="007467D1" w:rsidP="007467D1">
      <w:pPr>
        <w:jc w:val="both"/>
        <w:rPr>
          <w:b/>
          <w:szCs w:val="24"/>
          <w:lang w:val="sq-AL"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850"/>
        <w:gridCol w:w="992"/>
        <w:gridCol w:w="993"/>
      </w:tblGrid>
      <w:tr w:rsidR="007467D1" w:rsidRPr="007467D1" w:rsidTr="00B47E6F">
        <w:trPr>
          <w:trHeight w:val="265"/>
        </w:trPr>
        <w:tc>
          <w:tcPr>
            <w:tcW w:w="6096"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b/>
                <w:bCs/>
                <w:i/>
                <w:iCs/>
                <w:color w:val="000000"/>
                <w:szCs w:val="24"/>
                <w:lang w:val="sq-AL" w:eastAsia="en-US"/>
              </w:rPr>
              <w:t xml:space="preserve">Kriteret </w:t>
            </w:r>
          </w:p>
        </w:tc>
        <w:tc>
          <w:tcPr>
            <w:tcW w:w="850"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b/>
                <w:bCs/>
                <w:i/>
                <w:iCs/>
                <w:color w:val="000000"/>
                <w:szCs w:val="24"/>
                <w:lang w:val="sq-AL" w:eastAsia="en-US"/>
              </w:rPr>
              <w:t xml:space="preserve">Pesha </w:t>
            </w:r>
          </w:p>
        </w:tc>
        <w:tc>
          <w:tcPr>
            <w:tcW w:w="992"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b/>
                <w:bCs/>
                <w:i/>
                <w:iCs/>
                <w:color w:val="000000"/>
                <w:szCs w:val="24"/>
                <w:lang w:val="sq-AL" w:eastAsia="en-US"/>
              </w:rPr>
              <w:t xml:space="preserve">Opsioni 1 </w:t>
            </w:r>
          </w:p>
        </w:tc>
        <w:tc>
          <w:tcPr>
            <w:tcW w:w="993"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b/>
                <w:bCs/>
                <w:i/>
                <w:iCs/>
                <w:color w:val="000000"/>
                <w:szCs w:val="24"/>
                <w:lang w:val="sq-AL" w:eastAsia="en-US"/>
              </w:rPr>
              <w:t xml:space="preserve">Opsioni 2 </w:t>
            </w:r>
          </w:p>
        </w:tc>
      </w:tr>
      <w:tr w:rsidR="007467D1" w:rsidRPr="007467D1" w:rsidTr="00B47E6F">
        <w:trPr>
          <w:trHeight w:val="469"/>
        </w:trPr>
        <w:tc>
          <w:tcPr>
            <w:tcW w:w="6096" w:type="dxa"/>
          </w:tcPr>
          <w:p w:rsidR="007467D1" w:rsidRPr="007467D1" w:rsidRDefault="007467D1" w:rsidP="007467D1">
            <w:pPr>
              <w:tabs>
                <w:tab w:val="left" w:pos="567"/>
              </w:tabs>
              <w:spacing w:after="120"/>
              <w:jc w:val="both"/>
              <w:rPr>
                <w:szCs w:val="24"/>
                <w:lang w:eastAsia="en-US"/>
              </w:rPr>
            </w:pPr>
            <w:r>
              <w:rPr>
                <w:szCs w:val="24"/>
                <w:lang w:val="sq-AL" w:eastAsia="en-US"/>
              </w:rPr>
              <w:t xml:space="preserve">Plotesimi i kuadrit ligjor </w:t>
            </w:r>
            <w:r w:rsidRPr="007467D1">
              <w:rPr>
                <w:szCs w:val="24"/>
                <w:lang w:val="sq-AL" w:eastAsia="en-US"/>
              </w:rPr>
              <w:t>duke mundësuar rregullimin e të drejtave dhe detyrimeve për krijimin, përdorimin dhe funksionimin e regjistrit qendror të llogarive bankare dhe kasetave të sigurisë</w:t>
            </w:r>
          </w:p>
        </w:tc>
        <w:tc>
          <w:tcPr>
            <w:tcW w:w="850"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i/>
                <w:iCs/>
                <w:color w:val="000000"/>
                <w:szCs w:val="24"/>
                <w:lang w:val="sq-AL" w:eastAsia="en-US"/>
              </w:rPr>
              <w:t xml:space="preserve">3 </w:t>
            </w:r>
          </w:p>
        </w:tc>
        <w:tc>
          <w:tcPr>
            <w:tcW w:w="992" w:type="dxa"/>
          </w:tcPr>
          <w:p w:rsidR="007467D1" w:rsidRPr="007467D1" w:rsidRDefault="007467D1" w:rsidP="00FC22E7">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FC22E7">
              <w:rPr>
                <w:rFonts w:eastAsiaTheme="minorHAnsi"/>
                <w:i/>
                <w:iCs/>
                <w:color w:val="000000"/>
                <w:szCs w:val="24"/>
                <w:lang w:val="sq-AL" w:eastAsia="en-US"/>
              </w:rPr>
              <w:t>5</w:t>
            </w:r>
            <w:r w:rsidRPr="007467D1">
              <w:rPr>
                <w:rFonts w:eastAsiaTheme="minorHAnsi"/>
                <w:i/>
                <w:iCs/>
                <w:color w:val="000000"/>
                <w:szCs w:val="24"/>
                <w:lang w:val="sq-AL" w:eastAsia="en-US"/>
              </w:rPr>
              <w:t xml:space="preserve"> (</w:t>
            </w:r>
            <w:r w:rsidR="00FC22E7">
              <w:rPr>
                <w:rFonts w:eastAsiaTheme="minorHAnsi"/>
                <w:i/>
                <w:iCs/>
                <w:color w:val="000000"/>
                <w:szCs w:val="24"/>
                <w:lang w:val="sq-AL" w:eastAsia="en-US"/>
              </w:rPr>
              <w:t>15</w:t>
            </w:r>
            <w:r w:rsidRPr="007467D1">
              <w:rPr>
                <w:rFonts w:eastAsiaTheme="minorHAnsi"/>
                <w:i/>
                <w:iCs/>
                <w:color w:val="000000"/>
                <w:szCs w:val="24"/>
                <w:lang w:val="sq-AL" w:eastAsia="en-US"/>
              </w:rPr>
              <w:t xml:space="preserve">) </w:t>
            </w:r>
          </w:p>
        </w:tc>
        <w:tc>
          <w:tcPr>
            <w:tcW w:w="993" w:type="dxa"/>
          </w:tcPr>
          <w:p w:rsidR="007467D1" w:rsidRPr="007467D1" w:rsidRDefault="007467D1" w:rsidP="00FC22E7">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FC22E7">
              <w:rPr>
                <w:rFonts w:eastAsiaTheme="minorHAnsi"/>
                <w:i/>
                <w:iCs/>
                <w:color w:val="000000"/>
                <w:szCs w:val="24"/>
                <w:lang w:val="sq-AL" w:eastAsia="en-US"/>
              </w:rPr>
              <w:t>0</w:t>
            </w:r>
            <w:r w:rsidRPr="007467D1">
              <w:rPr>
                <w:rFonts w:eastAsiaTheme="minorHAnsi"/>
                <w:i/>
                <w:iCs/>
                <w:color w:val="000000"/>
                <w:szCs w:val="24"/>
                <w:lang w:val="sq-AL" w:eastAsia="en-US"/>
              </w:rPr>
              <w:t xml:space="preserve"> (</w:t>
            </w:r>
            <w:r w:rsidR="00FC22E7">
              <w:rPr>
                <w:rFonts w:eastAsiaTheme="minorHAnsi"/>
                <w:i/>
                <w:iCs/>
                <w:color w:val="000000"/>
                <w:szCs w:val="24"/>
                <w:lang w:val="sq-AL" w:eastAsia="en-US"/>
              </w:rPr>
              <w:t>0</w:t>
            </w:r>
            <w:r w:rsidRPr="007467D1">
              <w:rPr>
                <w:rFonts w:eastAsiaTheme="minorHAnsi"/>
                <w:i/>
                <w:iCs/>
                <w:color w:val="000000"/>
                <w:szCs w:val="24"/>
                <w:lang w:val="sq-AL" w:eastAsia="en-US"/>
              </w:rPr>
              <w:t xml:space="preserve">) </w:t>
            </w:r>
          </w:p>
        </w:tc>
      </w:tr>
      <w:tr w:rsidR="007467D1" w:rsidRPr="007467D1" w:rsidTr="00B47E6F">
        <w:trPr>
          <w:trHeight w:val="269"/>
        </w:trPr>
        <w:tc>
          <w:tcPr>
            <w:tcW w:w="6096" w:type="dxa"/>
          </w:tcPr>
          <w:p w:rsidR="007467D1" w:rsidRPr="007467D1" w:rsidRDefault="007467D1" w:rsidP="007467D1">
            <w:pPr>
              <w:tabs>
                <w:tab w:val="left" w:pos="567"/>
              </w:tabs>
              <w:spacing w:after="120"/>
              <w:jc w:val="both"/>
              <w:rPr>
                <w:i/>
                <w:szCs w:val="24"/>
                <w:lang w:eastAsia="en-US"/>
              </w:rPr>
            </w:pPr>
            <w:r>
              <w:rPr>
                <w:szCs w:val="24"/>
                <w:lang w:val="sq-AL" w:eastAsia="en-US"/>
              </w:rPr>
              <w:t>P</w:t>
            </w:r>
            <w:r w:rsidR="00FC22E7">
              <w:rPr>
                <w:szCs w:val="24"/>
                <w:lang w:val="sq-AL" w:eastAsia="en-US"/>
              </w:rPr>
              <w:t>ë</w:t>
            </w:r>
            <w:r>
              <w:rPr>
                <w:szCs w:val="24"/>
                <w:lang w:val="sq-AL" w:eastAsia="en-US"/>
              </w:rPr>
              <w:t>rmbushje e rekomandimeve te FATF-s</w:t>
            </w:r>
            <w:r w:rsidR="00FC22E7">
              <w:rPr>
                <w:szCs w:val="24"/>
                <w:lang w:val="sq-AL" w:eastAsia="en-US"/>
              </w:rPr>
              <w:t>ë</w:t>
            </w:r>
            <w:r w:rsidRPr="007467D1">
              <w:rPr>
                <w:i/>
                <w:szCs w:val="24"/>
                <w:lang w:val="sq-AL" w:eastAsia="en-US"/>
              </w:rPr>
              <w:t xml:space="preserve"> </w:t>
            </w:r>
          </w:p>
        </w:tc>
        <w:tc>
          <w:tcPr>
            <w:tcW w:w="850"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i/>
                <w:iCs/>
                <w:color w:val="000000"/>
                <w:szCs w:val="24"/>
                <w:lang w:val="sq-AL" w:eastAsia="en-US"/>
              </w:rPr>
              <w:t xml:space="preserve">4 </w:t>
            </w:r>
          </w:p>
        </w:tc>
        <w:tc>
          <w:tcPr>
            <w:tcW w:w="992"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Pr="007467D1">
              <w:rPr>
                <w:rFonts w:eastAsiaTheme="minorHAnsi"/>
                <w:i/>
                <w:iCs/>
                <w:color w:val="000000"/>
                <w:szCs w:val="24"/>
                <w:lang w:val="sq-AL" w:eastAsia="en-US"/>
              </w:rPr>
              <w:t>5 (20)</w:t>
            </w:r>
          </w:p>
        </w:tc>
        <w:tc>
          <w:tcPr>
            <w:tcW w:w="993" w:type="dxa"/>
          </w:tcPr>
          <w:p w:rsidR="007467D1" w:rsidRPr="007467D1" w:rsidRDefault="007467D1" w:rsidP="0016531A">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16531A">
              <w:rPr>
                <w:rFonts w:eastAsiaTheme="minorHAnsi"/>
                <w:i/>
                <w:iCs/>
                <w:color w:val="000000"/>
                <w:szCs w:val="24"/>
                <w:lang w:val="sq-AL" w:eastAsia="en-US"/>
              </w:rPr>
              <w:t>3</w:t>
            </w:r>
            <w:r w:rsidRPr="007467D1">
              <w:rPr>
                <w:rFonts w:eastAsiaTheme="minorHAnsi"/>
                <w:i/>
                <w:iCs/>
                <w:color w:val="000000"/>
                <w:szCs w:val="24"/>
                <w:lang w:val="sq-AL" w:eastAsia="en-US"/>
              </w:rPr>
              <w:t xml:space="preserve"> (</w:t>
            </w:r>
            <w:r w:rsidR="0016531A">
              <w:rPr>
                <w:rFonts w:eastAsiaTheme="minorHAnsi"/>
                <w:i/>
                <w:iCs/>
                <w:color w:val="000000"/>
                <w:szCs w:val="24"/>
                <w:lang w:val="sq-AL" w:eastAsia="en-US"/>
              </w:rPr>
              <w:t>12</w:t>
            </w:r>
            <w:r w:rsidRPr="007467D1">
              <w:rPr>
                <w:rFonts w:eastAsiaTheme="minorHAnsi"/>
                <w:i/>
                <w:iCs/>
                <w:color w:val="000000"/>
                <w:szCs w:val="24"/>
                <w:lang w:val="sq-AL" w:eastAsia="en-US"/>
              </w:rPr>
              <w:t>)</w:t>
            </w:r>
          </w:p>
        </w:tc>
      </w:tr>
      <w:tr w:rsidR="007467D1" w:rsidRPr="007467D1" w:rsidTr="00B47E6F">
        <w:trPr>
          <w:trHeight w:val="269"/>
        </w:trPr>
        <w:tc>
          <w:tcPr>
            <w:tcW w:w="6096" w:type="dxa"/>
          </w:tcPr>
          <w:p w:rsidR="007467D1" w:rsidRPr="007467D1" w:rsidRDefault="007467D1" w:rsidP="007467D1">
            <w:pPr>
              <w:tabs>
                <w:tab w:val="left" w:pos="567"/>
              </w:tabs>
              <w:spacing w:after="120"/>
              <w:jc w:val="both"/>
              <w:rPr>
                <w:szCs w:val="24"/>
                <w:lang w:val="sq-AL" w:eastAsia="en-US"/>
              </w:rPr>
            </w:pPr>
            <w:r w:rsidRPr="007467D1">
              <w:rPr>
                <w:szCs w:val="24"/>
                <w:lang w:val="sq-AL" w:eastAsia="en-US"/>
              </w:rPr>
              <w:t xml:space="preserve">Klasifikimi si kundërvajtje administrative e dënueshme me gjobë, </w:t>
            </w:r>
            <w:r>
              <w:rPr>
                <w:szCs w:val="24"/>
                <w:lang w:val="sq-AL" w:eastAsia="en-US"/>
              </w:rPr>
              <w:t>mosp</w:t>
            </w:r>
            <w:r w:rsidR="00FC22E7">
              <w:rPr>
                <w:szCs w:val="24"/>
                <w:lang w:val="sq-AL" w:eastAsia="en-US"/>
              </w:rPr>
              <w:t>ë</w:t>
            </w:r>
            <w:r>
              <w:rPr>
                <w:szCs w:val="24"/>
                <w:lang w:val="sq-AL" w:eastAsia="en-US"/>
              </w:rPr>
              <w:t>rmbushjes s</w:t>
            </w:r>
            <w:r w:rsidR="00FC22E7">
              <w:rPr>
                <w:szCs w:val="24"/>
                <w:lang w:val="sq-AL" w:eastAsia="en-US"/>
              </w:rPr>
              <w:t>ë</w:t>
            </w:r>
            <w:r>
              <w:rPr>
                <w:szCs w:val="24"/>
                <w:lang w:val="sq-AL" w:eastAsia="en-US"/>
              </w:rPr>
              <w:t xml:space="preserve"> detyrimeve qe rrjedhin nga ligji.</w:t>
            </w:r>
          </w:p>
        </w:tc>
        <w:tc>
          <w:tcPr>
            <w:tcW w:w="850"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4</w:t>
            </w:r>
          </w:p>
        </w:tc>
        <w:tc>
          <w:tcPr>
            <w:tcW w:w="992" w:type="dxa"/>
          </w:tcPr>
          <w:p w:rsidR="007467D1" w:rsidRPr="007467D1" w:rsidRDefault="007467D1" w:rsidP="007467D1">
            <w:pPr>
              <w:autoSpaceDE w:val="0"/>
              <w:autoSpaceDN w:val="0"/>
              <w:adjustRightInd w:val="0"/>
              <w:rPr>
                <w:rFonts w:eastAsiaTheme="minorHAnsi"/>
                <w:color w:val="000000"/>
                <w:szCs w:val="24"/>
                <w:lang w:val="sq-AL" w:eastAsia="en-US"/>
              </w:rPr>
            </w:pPr>
            <w:r w:rsidRPr="007467D1">
              <w:rPr>
                <w:rFonts w:eastAsiaTheme="minorHAnsi"/>
                <w:i/>
                <w:iCs/>
                <w:color w:val="000000"/>
                <w:szCs w:val="24"/>
                <w:lang w:val="sq-AL" w:eastAsia="en-US"/>
              </w:rPr>
              <w:t>5</w:t>
            </w:r>
            <w:r w:rsidR="00FC22E7">
              <w:rPr>
                <w:rFonts w:eastAsiaTheme="minorHAnsi"/>
                <w:i/>
                <w:iCs/>
                <w:color w:val="000000"/>
                <w:szCs w:val="24"/>
                <w:lang w:val="sq-AL" w:eastAsia="en-US"/>
              </w:rPr>
              <w:t xml:space="preserve"> </w:t>
            </w:r>
            <w:r w:rsidRPr="007467D1">
              <w:rPr>
                <w:rFonts w:eastAsiaTheme="minorHAnsi"/>
                <w:i/>
                <w:iCs/>
                <w:color w:val="000000"/>
                <w:szCs w:val="24"/>
                <w:lang w:val="sq-AL" w:eastAsia="en-US"/>
              </w:rPr>
              <w:t>(20)</w:t>
            </w:r>
          </w:p>
        </w:tc>
        <w:tc>
          <w:tcPr>
            <w:tcW w:w="993" w:type="dxa"/>
          </w:tcPr>
          <w:p w:rsidR="007467D1" w:rsidRPr="007467D1" w:rsidRDefault="0016531A" w:rsidP="0016531A">
            <w:pPr>
              <w:autoSpaceDE w:val="0"/>
              <w:autoSpaceDN w:val="0"/>
              <w:adjustRightInd w:val="0"/>
              <w:rPr>
                <w:rFonts w:eastAsiaTheme="minorHAnsi"/>
                <w:color w:val="000000"/>
                <w:szCs w:val="24"/>
                <w:lang w:val="sq-AL" w:eastAsia="en-US"/>
              </w:rPr>
            </w:pPr>
            <w:r>
              <w:rPr>
                <w:rFonts w:eastAsiaTheme="minorHAnsi"/>
                <w:i/>
                <w:iCs/>
                <w:color w:val="000000"/>
                <w:szCs w:val="24"/>
                <w:lang w:val="sq-AL" w:eastAsia="en-US"/>
              </w:rPr>
              <w:t>3</w:t>
            </w:r>
            <w:r w:rsidR="007467D1" w:rsidRPr="007467D1">
              <w:rPr>
                <w:rFonts w:eastAsiaTheme="minorHAnsi"/>
                <w:i/>
                <w:iCs/>
                <w:color w:val="000000"/>
                <w:szCs w:val="24"/>
                <w:lang w:val="sq-AL" w:eastAsia="en-US"/>
              </w:rPr>
              <w:t xml:space="preserve"> (</w:t>
            </w:r>
            <w:r>
              <w:rPr>
                <w:rFonts w:eastAsiaTheme="minorHAnsi"/>
                <w:i/>
                <w:iCs/>
                <w:color w:val="000000"/>
                <w:szCs w:val="24"/>
                <w:lang w:val="sq-AL" w:eastAsia="en-US"/>
              </w:rPr>
              <w:t>12</w:t>
            </w:r>
            <w:r w:rsidR="007467D1" w:rsidRPr="007467D1">
              <w:rPr>
                <w:rFonts w:eastAsiaTheme="minorHAnsi"/>
                <w:i/>
                <w:iCs/>
                <w:color w:val="000000"/>
                <w:szCs w:val="24"/>
                <w:lang w:val="sq-AL" w:eastAsia="en-US"/>
              </w:rPr>
              <w:t>)</w:t>
            </w:r>
          </w:p>
        </w:tc>
      </w:tr>
      <w:tr w:rsidR="007467D1" w:rsidRPr="007467D1" w:rsidTr="00B47E6F">
        <w:trPr>
          <w:trHeight w:val="271"/>
        </w:trPr>
        <w:tc>
          <w:tcPr>
            <w:tcW w:w="6096" w:type="dxa"/>
          </w:tcPr>
          <w:p w:rsidR="007467D1" w:rsidRPr="007467D1" w:rsidRDefault="007467D1" w:rsidP="007467D1">
            <w:pPr>
              <w:tabs>
                <w:tab w:val="left" w:pos="567"/>
              </w:tabs>
              <w:spacing w:after="120"/>
              <w:jc w:val="both"/>
              <w:rPr>
                <w:szCs w:val="24"/>
                <w:lang w:eastAsia="en-US"/>
              </w:rPr>
            </w:pPr>
            <w:r>
              <w:rPr>
                <w:szCs w:val="24"/>
                <w:lang w:val="sq-AL" w:eastAsia="en-US"/>
              </w:rPr>
              <w:t>Dh</w:t>
            </w:r>
            <w:r w:rsidR="00FC22E7">
              <w:rPr>
                <w:szCs w:val="24"/>
                <w:lang w:val="sq-AL" w:eastAsia="en-US"/>
              </w:rPr>
              <w:t>ë</w:t>
            </w:r>
            <w:r>
              <w:rPr>
                <w:szCs w:val="24"/>
                <w:lang w:val="sq-AL" w:eastAsia="en-US"/>
              </w:rPr>
              <w:t>nia e te drejt</w:t>
            </w:r>
            <w:r w:rsidR="00FC22E7">
              <w:rPr>
                <w:szCs w:val="24"/>
                <w:lang w:val="sq-AL" w:eastAsia="en-US"/>
              </w:rPr>
              <w:t>ë</w:t>
            </w:r>
            <w:r>
              <w:rPr>
                <w:szCs w:val="24"/>
                <w:lang w:val="sq-AL" w:eastAsia="en-US"/>
              </w:rPr>
              <w:t>s s</w:t>
            </w:r>
            <w:r w:rsidR="00FC22E7">
              <w:rPr>
                <w:szCs w:val="24"/>
                <w:lang w:val="sq-AL" w:eastAsia="en-US"/>
              </w:rPr>
              <w:t>ë</w:t>
            </w:r>
            <w:r>
              <w:rPr>
                <w:szCs w:val="24"/>
                <w:lang w:val="sq-AL" w:eastAsia="en-US"/>
              </w:rPr>
              <w:t xml:space="preserve"> institucioneve t</w:t>
            </w:r>
            <w:r w:rsidR="00FC22E7">
              <w:rPr>
                <w:szCs w:val="24"/>
                <w:lang w:val="sq-AL" w:eastAsia="en-US"/>
              </w:rPr>
              <w:t>ë</w:t>
            </w:r>
            <w:r>
              <w:rPr>
                <w:szCs w:val="24"/>
                <w:lang w:val="sq-AL" w:eastAsia="en-US"/>
              </w:rPr>
              <w:t xml:space="preserve"> inteligjen</w:t>
            </w:r>
            <w:r w:rsidR="00FC22E7">
              <w:rPr>
                <w:szCs w:val="24"/>
                <w:lang w:val="sq-AL" w:eastAsia="en-US"/>
              </w:rPr>
              <w:t>ë</w:t>
            </w:r>
            <w:r>
              <w:rPr>
                <w:szCs w:val="24"/>
                <w:lang w:val="sq-AL" w:eastAsia="en-US"/>
              </w:rPr>
              <w:t>s financiare dhe DPT q</w:t>
            </w:r>
            <w:r w:rsidR="00FC22E7">
              <w:rPr>
                <w:szCs w:val="24"/>
                <w:lang w:val="sq-AL" w:eastAsia="en-US"/>
              </w:rPr>
              <w:t>ë</w:t>
            </w:r>
            <w:r>
              <w:rPr>
                <w:szCs w:val="24"/>
                <w:lang w:val="sq-AL" w:eastAsia="en-US"/>
              </w:rPr>
              <w:t xml:space="preserve"> t</w:t>
            </w:r>
            <w:r w:rsidR="00FC22E7">
              <w:rPr>
                <w:szCs w:val="24"/>
                <w:lang w:val="sq-AL" w:eastAsia="en-US"/>
              </w:rPr>
              <w:t>ë</w:t>
            </w:r>
            <w:r>
              <w:rPr>
                <w:szCs w:val="24"/>
                <w:lang w:val="sq-AL" w:eastAsia="en-US"/>
              </w:rPr>
              <w:t xml:space="preserve"> p</w:t>
            </w:r>
            <w:r w:rsidR="00FC22E7">
              <w:rPr>
                <w:szCs w:val="24"/>
                <w:lang w:val="sq-AL" w:eastAsia="en-US"/>
              </w:rPr>
              <w:t>ë</w:t>
            </w:r>
            <w:r>
              <w:rPr>
                <w:szCs w:val="24"/>
                <w:lang w:val="sq-AL" w:eastAsia="en-US"/>
              </w:rPr>
              <w:t>rdorin k</w:t>
            </w:r>
            <w:r w:rsidR="00FC22E7">
              <w:rPr>
                <w:szCs w:val="24"/>
                <w:lang w:val="sq-AL" w:eastAsia="en-US"/>
              </w:rPr>
              <w:t>ë</w:t>
            </w:r>
            <w:r>
              <w:rPr>
                <w:szCs w:val="24"/>
                <w:lang w:val="sq-AL" w:eastAsia="en-US"/>
              </w:rPr>
              <w:t>t</w:t>
            </w:r>
            <w:r w:rsidR="00FC22E7">
              <w:rPr>
                <w:szCs w:val="24"/>
                <w:lang w:val="sq-AL" w:eastAsia="en-US"/>
              </w:rPr>
              <w:t>ë</w:t>
            </w:r>
            <w:r>
              <w:rPr>
                <w:szCs w:val="24"/>
                <w:lang w:val="sq-AL" w:eastAsia="en-US"/>
              </w:rPr>
              <w:t xml:space="preserve"> rregjist</w:t>
            </w:r>
            <w:r w:rsidR="00FC22E7">
              <w:rPr>
                <w:szCs w:val="24"/>
                <w:lang w:val="sq-AL" w:eastAsia="en-US"/>
              </w:rPr>
              <w:t>ë</w:t>
            </w:r>
            <w:r>
              <w:rPr>
                <w:szCs w:val="24"/>
                <w:lang w:val="sq-AL" w:eastAsia="en-US"/>
              </w:rPr>
              <w:t>r n</w:t>
            </w:r>
            <w:r w:rsidR="00FC22E7">
              <w:rPr>
                <w:szCs w:val="24"/>
                <w:lang w:val="sq-AL" w:eastAsia="en-US"/>
              </w:rPr>
              <w:t>ë</w:t>
            </w:r>
            <w:r>
              <w:rPr>
                <w:szCs w:val="24"/>
                <w:lang w:val="sq-AL" w:eastAsia="en-US"/>
              </w:rPr>
              <w:t xml:space="preserve"> funksion t</w:t>
            </w:r>
            <w:r w:rsidR="00FC22E7">
              <w:rPr>
                <w:szCs w:val="24"/>
                <w:lang w:val="sq-AL" w:eastAsia="en-US"/>
              </w:rPr>
              <w:t>ë</w:t>
            </w:r>
            <w:r>
              <w:rPr>
                <w:szCs w:val="24"/>
                <w:lang w:val="sq-AL" w:eastAsia="en-US"/>
              </w:rPr>
              <w:t xml:space="preserve"> mbledhjes s</w:t>
            </w:r>
            <w:r w:rsidR="00FC22E7">
              <w:rPr>
                <w:szCs w:val="24"/>
                <w:lang w:val="sq-AL" w:eastAsia="en-US"/>
              </w:rPr>
              <w:t>ë</w:t>
            </w:r>
            <w:r>
              <w:rPr>
                <w:szCs w:val="24"/>
                <w:lang w:val="sq-AL" w:eastAsia="en-US"/>
              </w:rPr>
              <w:t xml:space="preserve"> detyrimet tatimore dhe </w:t>
            </w:r>
            <w:r w:rsidRPr="007467D1">
              <w:rPr>
                <w:szCs w:val="24"/>
                <w:lang w:val="sq-AL" w:eastAsia="en-US"/>
              </w:rPr>
              <w:t>zbulimin, gjurmimin ose identifikimin e pasurive të dyshuara me origjinë nga veprimtari kriminale.</w:t>
            </w:r>
          </w:p>
        </w:tc>
        <w:tc>
          <w:tcPr>
            <w:tcW w:w="850" w:type="dxa"/>
          </w:tcPr>
          <w:p w:rsidR="007467D1" w:rsidRPr="007467D1" w:rsidRDefault="007467D1" w:rsidP="00FC22E7">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FC22E7">
              <w:rPr>
                <w:rFonts w:eastAsiaTheme="minorHAnsi"/>
                <w:color w:val="000000"/>
                <w:szCs w:val="24"/>
                <w:lang w:val="sq-AL" w:eastAsia="en-US"/>
              </w:rPr>
              <w:t>4</w:t>
            </w:r>
            <w:r w:rsidRPr="007467D1">
              <w:rPr>
                <w:rFonts w:eastAsiaTheme="minorHAnsi"/>
                <w:i/>
                <w:iCs/>
                <w:color w:val="000000"/>
                <w:szCs w:val="24"/>
                <w:lang w:val="sq-AL" w:eastAsia="en-US"/>
              </w:rPr>
              <w:t xml:space="preserve"> </w:t>
            </w:r>
          </w:p>
        </w:tc>
        <w:tc>
          <w:tcPr>
            <w:tcW w:w="992" w:type="dxa"/>
          </w:tcPr>
          <w:p w:rsidR="007467D1" w:rsidRPr="007467D1" w:rsidRDefault="007467D1" w:rsidP="00FC22E7">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FC22E7">
              <w:rPr>
                <w:rFonts w:eastAsiaTheme="minorHAnsi"/>
                <w:color w:val="000000"/>
                <w:szCs w:val="24"/>
                <w:lang w:val="sq-AL" w:eastAsia="en-US"/>
              </w:rPr>
              <w:t>5</w:t>
            </w:r>
            <w:r w:rsidRPr="007467D1">
              <w:rPr>
                <w:rFonts w:eastAsiaTheme="minorHAnsi"/>
                <w:i/>
                <w:iCs/>
                <w:color w:val="000000"/>
                <w:szCs w:val="24"/>
                <w:lang w:val="sq-AL" w:eastAsia="en-US"/>
              </w:rPr>
              <w:t xml:space="preserve"> (</w:t>
            </w:r>
            <w:r w:rsidR="00FC22E7">
              <w:rPr>
                <w:rFonts w:eastAsiaTheme="minorHAnsi"/>
                <w:i/>
                <w:iCs/>
                <w:color w:val="000000"/>
                <w:szCs w:val="24"/>
                <w:lang w:val="sq-AL" w:eastAsia="en-US"/>
              </w:rPr>
              <w:t>20</w:t>
            </w:r>
            <w:r w:rsidRPr="007467D1">
              <w:rPr>
                <w:rFonts w:eastAsiaTheme="minorHAnsi"/>
                <w:i/>
                <w:iCs/>
                <w:color w:val="000000"/>
                <w:szCs w:val="24"/>
                <w:lang w:val="sq-AL" w:eastAsia="en-US"/>
              </w:rPr>
              <w:t>)</w:t>
            </w:r>
          </w:p>
        </w:tc>
        <w:tc>
          <w:tcPr>
            <w:tcW w:w="993" w:type="dxa"/>
          </w:tcPr>
          <w:p w:rsidR="007467D1" w:rsidRPr="007467D1" w:rsidRDefault="007467D1" w:rsidP="00FC22E7">
            <w:pPr>
              <w:autoSpaceDE w:val="0"/>
              <w:autoSpaceDN w:val="0"/>
              <w:adjustRightInd w:val="0"/>
              <w:rPr>
                <w:rFonts w:eastAsiaTheme="minorHAnsi"/>
                <w:color w:val="000000"/>
                <w:szCs w:val="24"/>
                <w:lang w:val="sq-AL" w:eastAsia="en-US"/>
              </w:rPr>
            </w:pPr>
            <w:r w:rsidRPr="007467D1">
              <w:rPr>
                <w:rFonts w:eastAsiaTheme="minorHAnsi"/>
                <w:color w:val="000000"/>
                <w:szCs w:val="24"/>
                <w:lang w:val="sq-AL" w:eastAsia="en-US"/>
              </w:rPr>
              <w:t xml:space="preserve"> </w:t>
            </w:r>
            <w:r w:rsidR="00FC22E7">
              <w:rPr>
                <w:rFonts w:eastAsiaTheme="minorHAnsi"/>
                <w:color w:val="000000"/>
                <w:szCs w:val="24"/>
                <w:lang w:val="sq-AL" w:eastAsia="en-US"/>
              </w:rPr>
              <w:t>1</w:t>
            </w:r>
            <w:r w:rsidRPr="007467D1">
              <w:rPr>
                <w:rFonts w:eastAsiaTheme="minorHAnsi"/>
                <w:i/>
                <w:iCs/>
                <w:color w:val="000000"/>
                <w:szCs w:val="24"/>
                <w:lang w:val="sq-AL" w:eastAsia="en-US"/>
              </w:rPr>
              <w:t xml:space="preserve"> (</w:t>
            </w:r>
            <w:r w:rsidR="00FC22E7">
              <w:rPr>
                <w:rFonts w:eastAsiaTheme="minorHAnsi"/>
                <w:i/>
                <w:iCs/>
                <w:color w:val="000000"/>
                <w:szCs w:val="24"/>
                <w:lang w:val="sq-AL" w:eastAsia="en-US"/>
              </w:rPr>
              <w:t>4</w:t>
            </w:r>
            <w:r w:rsidRPr="007467D1">
              <w:rPr>
                <w:rFonts w:eastAsiaTheme="minorHAnsi"/>
                <w:i/>
                <w:iCs/>
                <w:color w:val="000000"/>
                <w:szCs w:val="24"/>
                <w:lang w:val="sq-AL" w:eastAsia="en-US"/>
              </w:rPr>
              <w:t xml:space="preserve">) </w:t>
            </w:r>
          </w:p>
        </w:tc>
      </w:tr>
      <w:tr w:rsidR="00FC22E7" w:rsidRPr="007467D1" w:rsidTr="00B47E6F">
        <w:trPr>
          <w:trHeight w:val="271"/>
        </w:trPr>
        <w:tc>
          <w:tcPr>
            <w:tcW w:w="6096" w:type="dxa"/>
          </w:tcPr>
          <w:p w:rsidR="00FC22E7" w:rsidRDefault="0016531A" w:rsidP="007467D1">
            <w:pPr>
              <w:tabs>
                <w:tab w:val="left" w:pos="567"/>
              </w:tabs>
              <w:spacing w:after="120"/>
              <w:jc w:val="both"/>
              <w:rPr>
                <w:szCs w:val="24"/>
                <w:lang w:val="sq-AL" w:eastAsia="en-US"/>
              </w:rPr>
            </w:pPr>
            <w:r w:rsidRPr="0016531A">
              <w:rPr>
                <w:szCs w:val="24"/>
                <w:lang w:val="sq-AL" w:eastAsia="en-US"/>
              </w:rPr>
              <w:t>Rritja e koordinimit midis institucioneve qendrore dhe Bankave, me qëllim përmiresimin e masave në kuadër të luftës kundër pastrimit të parave dhe terrorizmit</w:t>
            </w:r>
          </w:p>
          <w:p w:rsidR="00FC22E7" w:rsidRDefault="00FC22E7" w:rsidP="007467D1">
            <w:pPr>
              <w:tabs>
                <w:tab w:val="left" w:pos="567"/>
              </w:tabs>
              <w:spacing w:after="120"/>
              <w:jc w:val="both"/>
              <w:rPr>
                <w:szCs w:val="24"/>
                <w:lang w:val="sq-AL" w:eastAsia="en-US"/>
              </w:rPr>
            </w:pPr>
          </w:p>
        </w:tc>
        <w:tc>
          <w:tcPr>
            <w:tcW w:w="850" w:type="dxa"/>
          </w:tcPr>
          <w:p w:rsidR="00FC22E7" w:rsidRPr="007467D1" w:rsidRDefault="0016531A" w:rsidP="007467D1">
            <w:pPr>
              <w:autoSpaceDE w:val="0"/>
              <w:autoSpaceDN w:val="0"/>
              <w:adjustRightInd w:val="0"/>
              <w:rPr>
                <w:rFonts w:eastAsiaTheme="minorHAnsi"/>
                <w:color w:val="000000"/>
                <w:szCs w:val="24"/>
                <w:lang w:val="sq-AL" w:eastAsia="en-US"/>
              </w:rPr>
            </w:pPr>
            <w:r>
              <w:rPr>
                <w:rFonts w:eastAsiaTheme="minorHAnsi"/>
                <w:color w:val="000000"/>
                <w:szCs w:val="24"/>
                <w:lang w:val="sq-AL" w:eastAsia="en-US"/>
              </w:rPr>
              <w:t>3</w:t>
            </w:r>
          </w:p>
        </w:tc>
        <w:tc>
          <w:tcPr>
            <w:tcW w:w="992" w:type="dxa"/>
          </w:tcPr>
          <w:p w:rsidR="00FC22E7" w:rsidRPr="007467D1" w:rsidRDefault="0016531A" w:rsidP="00FC22E7">
            <w:pPr>
              <w:autoSpaceDE w:val="0"/>
              <w:autoSpaceDN w:val="0"/>
              <w:adjustRightInd w:val="0"/>
              <w:rPr>
                <w:rFonts w:eastAsiaTheme="minorHAnsi"/>
                <w:color w:val="000000"/>
                <w:szCs w:val="24"/>
                <w:lang w:val="sq-AL" w:eastAsia="en-US"/>
              </w:rPr>
            </w:pPr>
            <w:r>
              <w:rPr>
                <w:rFonts w:eastAsiaTheme="minorHAnsi"/>
                <w:color w:val="000000"/>
                <w:szCs w:val="24"/>
                <w:lang w:val="sq-AL" w:eastAsia="en-US"/>
              </w:rPr>
              <w:t>4 (12)</w:t>
            </w:r>
          </w:p>
        </w:tc>
        <w:tc>
          <w:tcPr>
            <w:tcW w:w="993" w:type="dxa"/>
          </w:tcPr>
          <w:p w:rsidR="00FC22E7" w:rsidRPr="007467D1" w:rsidRDefault="0016531A" w:rsidP="00FC22E7">
            <w:pPr>
              <w:autoSpaceDE w:val="0"/>
              <w:autoSpaceDN w:val="0"/>
              <w:adjustRightInd w:val="0"/>
              <w:rPr>
                <w:rFonts w:eastAsiaTheme="minorHAnsi"/>
                <w:color w:val="000000"/>
                <w:szCs w:val="24"/>
                <w:lang w:val="sq-AL" w:eastAsia="en-US"/>
              </w:rPr>
            </w:pPr>
            <w:r>
              <w:rPr>
                <w:rFonts w:eastAsiaTheme="minorHAnsi"/>
                <w:color w:val="000000"/>
                <w:szCs w:val="24"/>
                <w:lang w:val="sq-AL" w:eastAsia="en-US"/>
              </w:rPr>
              <w:t>1(3)</w:t>
            </w:r>
          </w:p>
        </w:tc>
      </w:tr>
      <w:tr w:rsidR="007467D1" w:rsidRPr="007467D1" w:rsidTr="00B47E6F">
        <w:trPr>
          <w:trHeight w:val="271"/>
        </w:trPr>
        <w:tc>
          <w:tcPr>
            <w:tcW w:w="6096" w:type="dxa"/>
          </w:tcPr>
          <w:p w:rsidR="007467D1" w:rsidRPr="007467D1" w:rsidRDefault="007467D1" w:rsidP="007467D1">
            <w:pPr>
              <w:tabs>
                <w:tab w:val="left" w:pos="567"/>
              </w:tabs>
              <w:spacing w:after="120"/>
              <w:jc w:val="both"/>
              <w:rPr>
                <w:szCs w:val="24"/>
                <w:lang w:val="sq-AL" w:eastAsia="en-US"/>
              </w:rPr>
            </w:pPr>
            <w:r w:rsidRPr="007467D1">
              <w:rPr>
                <w:rFonts w:eastAsiaTheme="minorHAnsi"/>
                <w:b/>
                <w:bCs/>
                <w:i/>
                <w:iCs/>
                <w:color w:val="000000"/>
                <w:szCs w:val="24"/>
                <w:lang w:val="sq-AL" w:eastAsia="en-US"/>
              </w:rPr>
              <w:t>Pikët</w:t>
            </w:r>
          </w:p>
        </w:tc>
        <w:tc>
          <w:tcPr>
            <w:tcW w:w="850" w:type="dxa"/>
          </w:tcPr>
          <w:p w:rsidR="007467D1" w:rsidRPr="007467D1" w:rsidRDefault="007467D1" w:rsidP="007467D1">
            <w:pPr>
              <w:autoSpaceDE w:val="0"/>
              <w:autoSpaceDN w:val="0"/>
              <w:adjustRightInd w:val="0"/>
              <w:rPr>
                <w:rFonts w:eastAsiaTheme="minorHAnsi"/>
                <w:color w:val="000000"/>
                <w:szCs w:val="24"/>
                <w:lang w:val="sq-AL" w:eastAsia="en-US"/>
              </w:rPr>
            </w:pPr>
          </w:p>
        </w:tc>
        <w:tc>
          <w:tcPr>
            <w:tcW w:w="992" w:type="dxa"/>
          </w:tcPr>
          <w:p w:rsidR="007467D1" w:rsidRPr="007467D1" w:rsidRDefault="007467D1" w:rsidP="0016531A">
            <w:pPr>
              <w:tabs>
                <w:tab w:val="left" w:pos="567"/>
              </w:tabs>
              <w:spacing w:after="120"/>
              <w:jc w:val="both"/>
              <w:rPr>
                <w:rFonts w:eastAsiaTheme="minorHAnsi"/>
                <w:b/>
                <w:bCs/>
                <w:i/>
                <w:iCs/>
                <w:color w:val="000000"/>
                <w:szCs w:val="24"/>
                <w:lang w:val="sq-AL" w:eastAsia="en-US"/>
              </w:rPr>
            </w:pPr>
            <w:r w:rsidRPr="007467D1">
              <w:rPr>
                <w:rFonts w:eastAsiaTheme="minorHAnsi"/>
                <w:b/>
                <w:bCs/>
                <w:i/>
                <w:iCs/>
                <w:color w:val="000000"/>
                <w:szCs w:val="24"/>
                <w:lang w:val="sq-AL" w:eastAsia="en-US"/>
              </w:rPr>
              <w:t xml:space="preserve"> </w:t>
            </w:r>
            <w:r w:rsidR="0016531A">
              <w:rPr>
                <w:rFonts w:eastAsiaTheme="minorHAnsi"/>
                <w:b/>
                <w:bCs/>
                <w:i/>
                <w:iCs/>
                <w:color w:val="000000"/>
                <w:szCs w:val="24"/>
                <w:lang w:val="sq-AL" w:eastAsia="en-US"/>
              </w:rPr>
              <w:t>87</w:t>
            </w:r>
          </w:p>
        </w:tc>
        <w:tc>
          <w:tcPr>
            <w:tcW w:w="993" w:type="dxa"/>
          </w:tcPr>
          <w:p w:rsidR="007467D1" w:rsidRPr="007467D1" w:rsidRDefault="007467D1" w:rsidP="0016531A">
            <w:pPr>
              <w:tabs>
                <w:tab w:val="left" w:pos="567"/>
              </w:tabs>
              <w:spacing w:after="120"/>
              <w:jc w:val="both"/>
              <w:rPr>
                <w:rFonts w:eastAsiaTheme="minorHAnsi"/>
                <w:b/>
                <w:bCs/>
                <w:i/>
                <w:iCs/>
                <w:color w:val="000000"/>
                <w:szCs w:val="24"/>
                <w:lang w:val="sq-AL" w:eastAsia="en-US"/>
              </w:rPr>
            </w:pPr>
            <w:r w:rsidRPr="007467D1">
              <w:rPr>
                <w:rFonts w:eastAsiaTheme="minorHAnsi"/>
                <w:b/>
                <w:bCs/>
                <w:i/>
                <w:iCs/>
                <w:color w:val="000000"/>
                <w:szCs w:val="24"/>
                <w:lang w:val="sq-AL" w:eastAsia="en-US"/>
              </w:rPr>
              <w:t xml:space="preserve"> </w:t>
            </w:r>
            <w:r w:rsidR="0016531A">
              <w:rPr>
                <w:rFonts w:eastAsiaTheme="minorHAnsi"/>
                <w:b/>
                <w:bCs/>
                <w:i/>
                <w:iCs/>
                <w:color w:val="000000"/>
                <w:szCs w:val="24"/>
                <w:lang w:val="sq-AL" w:eastAsia="en-US"/>
              </w:rPr>
              <w:t>31</w:t>
            </w:r>
          </w:p>
        </w:tc>
      </w:tr>
    </w:tbl>
    <w:p w:rsidR="007467D1" w:rsidRPr="007467D1" w:rsidRDefault="007467D1" w:rsidP="007467D1">
      <w:pPr>
        <w:rPr>
          <w:rFonts w:eastAsiaTheme="majorEastAsia"/>
        </w:rPr>
      </w:pPr>
    </w:p>
    <w:p w:rsidR="007467D1" w:rsidRPr="007467D1" w:rsidRDefault="007467D1" w:rsidP="007467D1">
      <w:pPr>
        <w:jc w:val="both"/>
        <w:rPr>
          <w:rFonts w:ascii="Arial" w:hAnsi="Arial"/>
          <w:sz w:val="22"/>
          <w:highlight w:val="yellow"/>
          <w:lang w:val="sq-AL" w:eastAsia="en-US"/>
        </w:rPr>
      </w:pPr>
      <w:r w:rsidRPr="007467D1">
        <w:rPr>
          <w:szCs w:val="24"/>
          <w:lang w:val="sq-AL" w:eastAsia="en-US"/>
        </w:rPr>
        <w:t xml:space="preserve">Në bazë të analizës së matricës së performancës së dy opsioneve rezulton se opsioni </w:t>
      </w:r>
      <w:r w:rsidR="00FC22E7">
        <w:rPr>
          <w:szCs w:val="24"/>
          <w:lang w:val="sq-AL" w:eastAsia="en-US"/>
        </w:rPr>
        <w:t>1</w:t>
      </w:r>
      <w:r w:rsidRPr="007467D1">
        <w:rPr>
          <w:szCs w:val="24"/>
          <w:lang w:val="sq-AL" w:eastAsia="en-US"/>
        </w:rPr>
        <w:t xml:space="preserve"> (</w:t>
      </w:r>
      <w:r>
        <w:rPr>
          <w:szCs w:val="24"/>
          <w:lang w:val="sq-AL" w:eastAsia="en-US"/>
        </w:rPr>
        <w:t>draftimi i nj</w:t>
      </w:r>
      <w:r w:rsidR="00FC22E7">
        <w:rPr>
          <w:szCs w:val="24"/>
          <w:lang w:val="sq-AL" w:eastAsia="en-US"/>
        </w:rPr>
        <w:t>ë</w:t>
      </w:r>
      <w:r>
        <w:rPr>
          <w:szCs w:val="24"/>
          <w:lang w:val="sq-AL" w:eastAsia="en-US"/>
        </w:rPr>
        <w:t xml:space="preserve"> ligji t</w:t>
      </w:r>
      <w:r w:rsidR="00FC22E7">
        <w:rPr>
          <w:szCs w:val="24"/>
          <w:lang w:val="sq-AL" w:eastAsia="en-US"/>
        </w:rPr>
        <w:t>ë</w:t>
      </w:r>
      <w:r>
        <w:rPr>
          <w:szCs w:val="24"/>
          <w:lang w:val="sq-AL" w:eastAsia="en-US"/>
        </w:rPr>
        <w:t xml:space="preserve"> ri</w:t>
      </w:r>
      <w:r w:rsidRPr="007467D1">
        <w:rPr>
          <w:szCs w:val="24"/>
          <w:lang w:val="sq-AL" w:eastAsia="en-US"/>
        </w:rPr>
        <w:t>) ka më shumë pikë</w:t>
      </w:r>
      <w:r w:rsidR="00FC22E7">
        <w:rPr>
          <w:szCs w:val="24"/>
          <w:lang w:val="sq-AL" w:eastAsia="en-US"/>
        </w:rPr>
        <w:t xml:space="preserve"> ndaj opsionit 2 (ndryshimi i kuadrit ligjor egzistues)</w:t>
      </w:r>
      <w:r w:rsidRPr="007467D1">
        <w:rPr>
          <w:szCs w:val="24"/>
          <w:lang w:val="sq-AL" w:eastAsia="en-US"/>
        </w:rPr>
        <w:t xml:space="preserve"> prandaj ai është opsioni i preferuar</w:t>
      </w:r>
      <w:r w:rsidRPr="00FC22E7">
        <w:rPr>
          <w:rFonts w:ascii="Arial" w:hAnsi="Arial"/>
          <w:sz w:val="22"/>
          <w:lang w:val="sq-AL" w:eastAsia="en-US"/>
        </w:rPr>
        <w:t xml:space="preserve">. </w:t>
      </w:r>
    </w:p>
    <w:p w:rsidR="001C03F7" w:rsidRDefault="001C03F7" w:rsidP="001C03F7">
      <w:pPr>
        <w:rPr>
          <w:rFonts w:eastAsiaTheme="majorEastAsia"/>
        </w:rPr>
      </w:pPr>
    </w:p>
    <w:p w:rsidR="001C03F7" w:rsidRPr="00325A1F" w:rsidRDefault="001C03F7" w:rsidP="007163CA">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p>
    <w:sdt>
      <w:sdtPr>
        <w:rPr>
          <w:rFonts w:cs="Times New Roman"/>
          <w:i/>
          <w:sz w:val="24"/>
          <w:szCs w:val="24"/>
          <w:lang w:val="sq-AL"/>
        </w:rPr>
        <w:id w:val="686721506"/>
        <w:lock w:val="contentLocked"/>
        <w:placeholder>
          <w:docPart w:val="4790E05907184BE9BEDA3D19C40E9417"/>
        </w:placeholder>
      </w:sdtPr>
      <w:sdtEndPr>
        <w:rPr>
          <w:i w:val="0"/>
        </w:rPr>
      </w:sdtEndPr>
      <w:sdtContent>
        <w:p w:rsidR="001C03F7" w:rsidRPr="0032145B" w:rsidRDefault="001C03F7" w:rsidP="007163CA">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rsidR="001C03F7" w:rsidRPr="0032145B" w:rsidRDefault="001C03F7" w:rsidP="007163CA">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rsidR="001C03F7" w:rsidRPr="00325A1F" w:rsidRDefault="001C03F7" w:rsidP="007163CA">
          <w:pPr>
            <w:pStyle w:val="Style1-BodyText"/>
            <w:numPr>
              <w:ilvl w:val="0"/>
              <w:numId w:val="2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rsidR="001C03F7" w:rsidRPr="001C03F7" w:rsidRDefault="001C03F7" w:rsidP="001C03F7">
      <w:pPr>
        <w:rPr>
          <w:rFonts w:eastAsiaTheme="majorEastAsia"/>
        </w:rPr>
      </w:pPr>
    </w:p>
    <w:bookmarkEnd w:id="9" w:displacedByCustomXml="next"/>
    <w:bookmarkStart w:id="10" w:name="_Toc465267003" w:displacedByCustomXml="next"/>
    <w:sdt>
      <w:sdtPr>
        <w:rPr>
          <w:rFonts w:eastAsiaTheme="majorEastAsia"/>
        </w:rPr>
        <w:id w:val="-1991320087"/>
        <w:placeholder>
          <w:docPart w:val="C8F0C73A25AD4069881E7BB32D9AC3FF"/>
        </w:placeholder>
      </w:sdtPr>
      <w:sdtEndPr>
        <w:rPr>
          <w:szCs w:val="24"/>
        </w:rPr>
      </w:sdtEndPr>
      <w:sdtContent>
        <w:p w:rsidR="002462AA" w:rsidRPr="000526BB" w:rsidRDefault="00225D0A" w:rsidP="000526BB">
          <w:pPr>
            <w:spacing w:before="240" w:line="276" w:lineRule="auto"/>
            <w:jc w:val="both"/>
            <w:rPr>
              <w:sz w:val="22"/>
              <w:szCs w:val="22"/>
            </w:rPr>
          </w:pPr>
          <w:r w:rsidRPr="002555BE">
            <w:rPr>
              <w:rFonts w:eastAsiaTheme="majorEastAsia"/>
              <w:szCs w:val="24"/>
            </w:rPr>
            <w:t>Struktura p</w:t>
          </w:r>
          <w:r w:rsidR="002462AA" w:rsidRPr="002555BE">
            <w:rPr>
              <w:rFonts w:eastAsiaTheme="majorEastAsia"/>
              <w:szCs w:val="24"/>
            </w:rPr>
            <w:t>ë</w:t>
          </w:r>
          <w:r w:rsidRPr="002555BE">
            <w:rPr>
              <w:rFonts w:eastAsiaTheme="majorEastAsia"/>
              <w:szCs w:val="24"/>
            </w:rPr>
            <w:t>rgjegj</w:t>
          </w:r>
          <w:r w:rsidR="002462AA" w:rsidRPr="002555BE">
            <w:rPr>
              <w:rFonts w:eastAsiaTheme="majorEastAsia"/>
              <w:szCs w:val="24"/>
            </w:rPr>
            <w:t>ë</w:t>
          </w:r>
          <w:r w:rsidRPr="002555BE">
            <w:rPr>
              <w:rFonts w:eastAsiaTheme="majorEastAsia"/>
              <w:szCs w:val="24"/>
            </w:rPr>
            <w:t>se p</w:t>
          </w:r>
          <w:r w:rsidR="002462AA" w:rsidRPr="002555BE">
            <w:rPr>
              <w:rFonts w:eastAsiaTheme="majorEastAsia"/>
              <w:szCs w:val="24"/>
            </w:rPr>
            <w:t>ë</w:t>
          </w:r>
          <w:r w:rsidRPr="002555BE">
            <w:rPr>
              <w:rFonts w:eastAsiaTheme="majorEastAsia"/>
              <w:szCs w:val="24"/>
            </w:rPr>
            <w:t>r zbatimin e opsionit t</w:t>
          </w:r>
          <w:r w:rsidR="002462AA" w:rsidRPr="002555BE">
            <w:rPr>
              <w:rFonts w:eastAsiaTheme="majorEastAsia"/>
              <w:szCs w:val="24"/>
            </w:rPr>
            <w:t>ë</w:t>
          </w:r>
          <w:r w:rsidRPr="002555BE">
            <w:rPr>
              <w:rFonts w:eastAsiaTheme="majorEastAsia"/>
              <w:szCs w:val="24"/>
            </w:rPr>
            <w:t xml:space="preserve"> zgjedhur do t</w:t>
          </w:r>
          <w:r w:rsidR="002462AA" w:rsidRPr="002555BE">
            <w:rPr>
              <w:rFonts w:eastAsiaTheme="majorEastAsia"/>
              <w:szCs w:val="24"/>
            </w:rPr>
            <w:t>ë</w:t>
          </w:r>
          <w:r w:rsidRPr="002555BE">
            <w:rPr>
              <w:rFonts w:eastAsiaTheme="majorEastAsia"/>
              <w:szCs w:val="24"/>
            </w:rPr>
            <w:t xml:space="preserve"> jet</w:t>
          </w:r>
          <w:r w:rsidR="002462AA" w:rsidRPr="002555BE">
            <w:rPr>
              <w:rFonts w:eastAsiaTheme="majorEastAsia"/>
              <w:szCs w:val="24"/>
            </w:rPr>
            <w:t>ë</w:t>
          </w:r>
          <w:r w:rsidRPr="002555BE">
            <w:rPr>
              <w:rFonts w:eastAsiaTheme="majorEastAsia"/>
              <w:szCs w:val="24"/>
            </w:rPr>
            <w:t xml:space="preserve"> Drejtoria e P</w:t>
          </w:r>
          <w:r w:rsidR="002462AA" w:rsidRPr="002555BE">
            <w:rPr>
              <w:rFonts w:eastAsiaTheme="majorEastAsia"/>
              <w:szCs w:val="24"/>
            </w:rPr>
            <w:t>ë</w:t>
          </w:r>
          <w:r w:rsidRPr="002555BE">
            <w:rPr>
              <w:rFonts w:eastAsiaTheme="majorEastAsia"/>
              <w:szCs w:val="24"/>
            </w:rPr>
            <w:t>rgjithshme e Tatimeve e mbik</w:t>
          </w:r>
          <w:r w:rsidR="002462AA" w:rsidRPr="002555BE">
            <w:rPr>
              <w:rFonts w:eastAsiaTheme="majorEastAsia"/>
              <w:szCs w:val="24"/>
            </w:rPr>
            <w:t>ë</w:t>
          </w:r>
          <w:r w:rsidRPr="002555BE">
            <w:rPr>
              <w:rFonts w:eastAsiaTheme="majorEastAsia"/>
              <w:szCs w:val="24"/>
            </w:rPr>
            <w:t>qyrur nga Ministria e Financave dhe Ekonomis</w:t>
          </w:r>
          <w:r w:rsidR="002462AA" w:rsidRPr="002555BE">
            <w:rPr>
              <w:rFonts w:eastAsiaTheme="majorEastAsia"/>
              <w:szCs w:val="24"/>
            </w:rPr>
            <w:t>ë</w:t>
          </w:r>
          <w:r w:rsidRPr="002555BE">
            <w:rPr>
              <w:rFonts w:eastAsiaTheme="majorEastAsia"/>
              <w:szCs w:val="24"/>
            </w:rPr>
            <w:t>. Gjithashtu, struktura p</w:t>
          </w:r>
          <w:r w:rsidR="002462AA" w:rsidRPr="002555BE">
            <w:rPr>
              <w:rFonts w:eastAsiaTheme="majorEastAsia"/>
              <w:szCs w:val="24"/>
            </w:rPr>
            <w:t>ë</w:t>
          </w:r>
          <w:r w:rsidRPr="002555BE">
            <w:rPr>
              <w:rFonts w:eastAsiaTheme="majorEastAsia"/>
              <w:szCs w:val="24"/>
            </w:rPr>
            <w:t>rgjegj</w:t>
          </w:r>
          <w:r w:rsidR="002462AA" w:rsidRPr="002555BE">
            <w:rPr>
              <w:rFonts w:eastAsiaTheme="majorEastAsia"/>
              <w:szCs w:val="24"/>
            </w:rPr>
            <w:t>ë</w:t>
          </w:r>
          <w:r w:rsidRPr="002555BE">
            <w:rPr>
              <w:rFonts w:eastAsiaTheme="majorEastAsia"/>
              <w:szCs w:val="24"/>
            </w:rPr>
            <w:t>se do t</w:t>
          </w:r>
          <w:r w:rsidR="002462AA" w:rsidRPr="002555BE">
            <w:rPr>
              <w:rFonts w:eastAsiaTheme="majorEastAsia"/>
              <w:szCs w:val="24"/>
            </w:rPr>
            <w:t>ë</w:t>
          </w:r>
          <w:r w:rsidRPr="002555BE">
            <w:rPr>
              <w:rFonts w:eastAsiaTheme="majorEastAsia"/>
              <w:szCs w:val="24"/>
            </w:rPr>
            <w:t xml:space="preserve"> jen</w:t>
          </w:r>
          <w:r w:rsidR="002462AA" w:rsidRPr="002555BE">
            <w:rPr>
              <w:rFonts w:eastAsiaTheme="majorEastAsia"/>
              <w:szCs w:val="24"/>
            </w:rPr>
            <w:t>ë</w:t>
          </w:r>
          <w:r w:rsidRPr="002555BE">
            <w:rPr>
              <w:rFonts w:eastAsiaTheme="majorEastAsia"/>
              <w:szCs w:val="24"/>
            </w:rPr>
            <w:t xml:space="preserve"> </w:t>
          </w:r>
          <w:r w:rsidRPr="002555BE">
            <w:rPr>
              <w:szCs w:val="24"/>
            </w:rPr>
            <w:t>Agjencia Kombëtare për Shoqërinë e Informacionit, Institucionet financiare</w:t>
          </w:r>
          <w:r w:rsidR="000526BB" w:rsidRPr="002555BE">
            <w:rPr>
              <w:szCs w:val="24"/>
            </w:rPr>
            <w:t>, Prokuroria,Prokuroria e Posaçme Kundër Korrupsionit dhe Krimit të Organizuar, Drejtoria e Përgjithshme e Policisë së Shtetit dhe Byroja Kombëtare e Hetimit</w:t>
          </w:r>
          <w:r w:rsidR="000526BB" w:rsidRPr="000526BB">
            <w:rPr>
              <w:sz w:val="22"/>
              <w:szCs w:val="22"/>
            </w:rPr>
            <w:t>.</w:t>
          </w:r>
        </w:p>
        <w:p w:rsidR="00563378" w:rsidRPr="002462AA" w:rsidRDefault="002462AA" w:rsidP="00225D0A">
          <w:pPr>
            <w:spacing w:before="240" w:line="276" w:lineRule="auto"/>
            <w:jc w:val="both"/>
            <w:rPr>
              <w:b/>
              <w:szCs w:val="24"/>
              <w:lang w:val="sq-AL"/>
            </w:rPr>
          </w:pPr>
          <w:r w:rsidRPr="002462AA">
            <w:rPr>
              <w:szCs w:val="24"/>
            </w:rPr>
            <w:t>P</w:t>
          </w:r>
          <w:r w:rsidR="00384F88">
            <w:rPr>
              <w:szCs w:val="24"/>
            </w:rPr>
            <w:t>ë</w:t>
          </w:r>
          <w:r w:rsidRPr="002462AA">
            <w:rPr>
              <w:szCs w:val="24"/>
            </w:rPr>
            <w:t>r zbatimin e k</w:t>
          </w:r>
          <w:r w:rsidR="00384F88">
            <w:rPr>
              <w:szCs w:val="24"/>
            </w:rPr>
            <w:t>ë</w:t>
          </w:r>
          <w:r w:rsidRPr="002462AA">
            <w:rPr>
              <w:szCs w:val="24"/>
            </w:rPr>
            <w:t>tij projektligji nuk parashikohet t</w:t>
          </w:r>
          <w:r w:rsidR="00384F88">
            <w:rPr>
              <w:szCs w:val="24"/>
            </w:rPr>
            <w:t>ë</w:t>
          </w:r>
          <w:r w:rsidRPr="002462AA">
            <w:rPr>
              <w:szCs w:val="24"/>
            </w:rPr>
            <w:t xml:space="preserve"> ket</w:t>
          </w:r>
          <w:r w:rsidR="00384F88">
            <w:rPr>
              <w:szCs w:val="24"/>
            </w:rPr>
            <w:t>ë</w:t>
          </w:r>
          <w:r w:rsidRPr="002462AA">
            <w:rPr>
              <w:szCs w:val="24"/>
            </w:rPr>
            <w:t xml:space="preserve"> pengesa t</w:t>
          </w:r>
          <w:r w:rsidR="00384F88">
            <w:rPr>
              <w:szCs w:val="24"/>
            </w:rPr>
            <w:t>ë</w:t>
          </w:r>
          <w:r w:rsidRPr="002462AA">
            <w:rPr>
              <w:szCs w:val="24"/>
            </w:rPr>
            <w:t xml:space="preserve"> mundshme.</w:t>
          </w:r>
        </w:p>
      </w:sdtContent>
    </w:sdt>
    <w:p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rsidR="009E64A4"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rsidR="002125B7"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lastRenderedPageBreak/>
            <w:t>Identifikoni kriteret/treguesit për të matur arritjen e objektivave ose progresin drejt tyre.</w:t>
          </w:r>
        </w:p>
      </w:sdtContent>
    </w:sdt>
    <w:bookmarkEnd w:id="10" w:displacedByCustomXml="next"/>
    <w:sdt>
      <w:sdtPr>
        <w:rPr>
          <w:rFonts w:eastAsiaTheme="majorEastAsia"/>
          <w:color w:val="808080" w:themeColor="background1" w:themeShade="80"/>
        </w:rPr>
        <w:id w:val="-521482689"/>
        <w:placeholder>
          <w:docPart w:val="346DADE0E4B948EEB018BC06B86F97D7"/>
        </w:placeholder>
      </w:sdtPr>
      <w:sdtEndPr/>
      <w:sdtContent>
        <w:p w:rsidR="001E1501" w:rsidRDefault="001E1501" w:rsidP="001E1501">
          <w:pPr>
            <w:spacing w:line="276" w:lineRule="auto"/>
            <w:ind w:left="360"/>
            <w:contextualSpacing/>
            <w:jc w:val="both"/>
            <w:rPr>
              <w:rFonts w:eastAsiaTheme="majorEastAsia"/>
              <w:color w:val="808080" w:themeColor="background1" w:themeShade="80"/>
            </w:rPr>
          </w:pPr>
        </w:p>
        <w:p w:rsidR="001E1501" w:rsidRDefault="001E1501" w:rsidP="001E1501">
          <w:pPr>
            <w:spacing w:line="276" w:lineRule="auto"/>
            <w:ind w:left="360"/>
            <w:contextualSpacing/>
            <w:jc w:val="both"/>
            <w:rPr>
              <w:szCs w:val="24"/>
              <w:lang w:val="sq-AL"/>
            </w:rPr>
          </w:pPr>
          <w:r w:rsidRPr="001E1501">
            <w:rPr>
              <w:szCs w:val="24"/>
              <w:lang w:val="sq-AL"/>
            </w:rPr>
            <w:t>Drejtoria e Përgjithshme e Tatimeve ka të gjitha kompetencat mbikëqyrëse</w:t>
          </w:r>
          <w:r>
            <w:rPr>
              <w:szCs w:val="24"/>
              <w:lang w:val="sq-AL"/>
            </w:rPr>
            <w:t xml:space="preserve"> dhe monitoruese p</w:t>
          </w:r>
          <w:r w:rsidR="00384F88">
            <w:rPr>
              <w:szCs w:val="24"/>
              <w:lang w:val="sq-AL"/>
            </w:rPr>
            <w:t>ë</w:t>
          </w:r>
          <w:r>
            <w:rPr>
              <w:szCs w:val="24"/>
              <w:lang w:val="sq-AL"/>
            </w:rPr>
            <w:t>r zbatimin e k</w:t>
          </w:r>
          <w:r w:rsidR="00384F88">
            <w:rPr>
              <w:szCs w:val="24"/>
              <w:lang w:val="sq-AL"/>
            </w:rPr>
            <w:t>ë</w:t>
          </w:r>
          <w:r>
            <w:rPr>
              <w:szCs w:val="24"/>
              <w:lang w:val="sq-AL"/>
            </w:rPr>
            <w:t>tij ligji.</w:t>
          </w:r>
        </w:p>
        <w:p w:rsidR="000F1D62" w:rsidRDefault="001E1501" w:rsidP="001E1501">
          <w:pPr>
            <w:spacing w:line="276" w:lineRule="auto"/>
            <w:ind w:left="360"/>
            <w:contextualSpacing/>
            <w:jc w:val="both"/>
            <w:rPr>
              <w:szCs w:val="24"/>
              <w:lang w:val="sq-AL"/>
            </w:rPr>
          </w:pPr>
          <w:r w:rsidRPr="004047DE">
            <w:rPr>
              <w:szCs w:val="24"/>
              <w:lang w:val="sq-AL"/>
            </w:rPr>
            <w:t>Drejtori</w:t>
          </w:r>
          <w:r>
            <w:rPr>
              <w:szCs w:val="24"/>
              <w:lang w:val="sq-AL"/>
            </w:rPr>
            <w:t xml:space="preserve">a e </w:t>
          </w:r>
          <w:r w:rsidRPr="004047DE">
            <w:rPr>
              <w:szCs w:val="24"/>
              <w:lang w:val="sq-AL"/>
            </w:rPr>
            <w:t xml:space="preserve">Përgjithshme </w:t>
          </w:r>
          <w:r>
            <w:rPr>
              <w:szCs w:val="24"/>
              <w:lang w:val="sq-AL"/>
            </w:rPr>
            <w:t>e</w:t>
          </w:r>
          <w:r w:rsidRPr="004047DE">
            <w:rPr>
              <w:szCs w:val="24"/>
              <w:lang w:val="sq-AL"/>
            </w:rPr>
            <w:t xml:space="preserve"> Tatimeve </w:t>
          </w:r>
          <w:r>
            <w:rPr>
              <w:szCs w:val="24"/>
              <w:lang w:val="sq-AL"/>
            </w:rPr>
            <w:t>do t</w:t>
          </w:r>
          <w:r w:rsidR="00384F88">
            <w:rPr>
              <w:szCs w:val="24"/>
              <w:lang w:val="sq-AL"/>
            </w:rPr>
            <w:t>ë</w:t>
          </w:r>
          <w:r>
            <w:rPr>
              <w:szCs w:val="24"/>
              <w:lang w:val="sq-AL"/>
            </w:rPr>
            <w:t xml:space="preserve"> monitoroj</w:t>
          </w:r>
          <w:r w:rsidR="00384F88">
            <w:rPr>
              <w:szCs w:val="24"/>
              <w:lang w:val="sq-AL"/>
            </w:rPr>
            <w:t>ë</w:t>
          </w:r>
          <w:r>
            <w:rPr>
              <w:szCs w:val="24"/>
              <w:lang w:val="sq-AL"/>
            </w:rPr>
            <w:t xml:space="preserve"> zbatiminin e k</w:t>
          </w:r>
          <w:r w:rsidR="00384F88">
            <w:rPr>
              <w:szCs w:val="24"/>
              <w:lang w:val="sq-AL"/>
            </w:rPr>
            <w:t>ë</w:t>
          </w:r>
          <w:r>
            <w:rPr>
              <w:szCs w:val="24"/>
              <w:lang w:val="sq-AL"/>
            </w:rPr>
            <w:t>tij ligji duke pasur t</w:t>
          </w:r>
          <w:r w:rsidR="00384F88">
            <w:rPr>
              <w:szCs w:val="24"/>
              <w:lang w:val="sq-AL"/>
            </w:rPr>
            <w:t>ë</w:t>
          </w:r>
          <w:r>
            <w:rPr>
              <w:szCs w:val="24"/>
              <w:lang w:val="sq-AL"/>
            </w:rPr>
            <w:t xml:space="preserve"> drejt</w:t>
          </w:r>
          <w:r w:rsidR="00384F88">
            <w:rPr>
              <w:szCs w:val="24"/>
              <w:lang w:val="sq-AL"/>
            </w:rPr>
            <w:t>ë</w:t>
          </w:r>
          <w:r>
            <w:rPr>
              <w:szCs w:val="24"/>
              <w:lang w:val="sq-AL"/>
            </w:rPr>
            <w:t>n p</w:t>
          </w:r>
          <w:r w:rsidR="00384F88">
            <w:rPr>
              <w:szCs w:val="24"/>
              <w:lang w:val="sq-AL"/>
            </w:rPr>
            <w:t>ë</w:t>
          </w:r>
          <w:r>
            <w:rPr>
              <w:szCs w:val="24"/>
              <w:lang w:val="sq-AL"/>
            </w:rPr>
            <w:t xml:space="preserve">r </w:t>
          </w:r>
          <w:r w:rsidRPr="001E1501">
            <w:rPr>
              <w:szCs w:val="24"/>
              <w:lang w:val="sq-AL"/>
            </w:rPr>
            <w:t>të akses</w:t>
          </w:r>
          <w:r>
            <w:rPr>
              <w:szCs w:val="24"/>
              <w:lang w:val="sq-AL"/>
            </w:rPr>
            <w:t>uar</w:t>
          </w:r>
          <w:r w:rsidRPr="001E1501">
            <w:rPr>
              <w:szCs w:val="24"/>
              <w:lang w:val="sq-AL"/>
            </w:rPr>
            <w:t xml:space="preserve"> çdo dokument dhe çdo të dhënë në çfarëdo forme, duke e marre atë</w:t>
          </w:r>
          <w:r>
            <w:rPr>
              <w:szCs w:val="24"/>
              <w:lang w:val="sq-AL"/>
            </w:rPr>
            <w:t xml:space="preserve"> apo një kopje të tij, duk</w:t>
          </w:r>
          <w:r w:rsidR="00384F88">
            <w:rPr>
              <w:szCs w:val="24"/>
              <w:lang w:val="sq-AL"/>
            </w:rPr>
            <w:t>ë</w:t>
          </w:r>
          <w:r w:rsidRPr="001E1501">
            <w:rPr>
              <w:szCs w:val="24"/>
              <w:lang w:val="sq-AL"/>
            </w:rPr>
            <w:t xml:space="preserve"> k</w:t>
          </w:r>
          <w:r w:rsidR="00384F88">
            <w:rPr>
              <w:szCs w:val="24"/>
              <w:lang w:val="sq-AL"/>
            </w:rPr>
            <w:t>ë</w:t>
          </w:r>
          <w:r>
            <w:rPr>
              <w:szCs w:val="24"/>
              <w:lang w:val="sq-AL"/>
            </w:rPr>
            <w:t>rkuar</w:t>
          </w:r>
          <w:r w:rsidRPr="001E1501">
            <w:rPr>
              <w:szCs w:val="24"/>
              <w:lang w:val="sq-AL"/>
            </w:rPr>
            <w:t xml:space="preserve"> informacio</w:t>
          </w:r>
          <w:r>
            <w:rPr>
              <w:szCs w:val="24"/>
              <w:lang w:val="sq-AL"/>
            </w:rPr>
            <w:t xml:space="preserve">n nga çdo institucion financiar, duke </w:t>
          </w:r>
          <w:r w:rsidRPr="001E1501">
            <w:rPr>
              <w:szCs w:val="24"/>
              <w:lang w:val="sq-AL"/>
            </w:rPr>
            <w:t>krye</w:t>
          </w:r>
          <w:r>
            <w:rPr>
              <w:szCs w:val="24"/>
              <w:lang w:val="sq-AL"/>
            </w:rPr>
            <w:t>r</w:t>
          </w:r>
          <w:r w:rsidR="00384F88">
            <w:rPr>
              <w:szCs w:val="24"/>
              <w:lang w:val="sq-AL"/>
            </w:rPr>
            <w:t>ë</w:t>
          </w:r>
          <w:r w:rsidRPr="001E1501">
            <w:rPr>
              <w:szCs w:val="24"/>
              <w:lang w:val="sq-AL"/>
            </w:rPr>
            <w:t xml:space="preserve"> inspektime në vend</w:t>
          </w:r>
          <w:r>
            <w:rPr>
              <w:szCs w:val="24"/>
              <w:lang w:val="sq-AL"/>
            </w:rPr>
            <w:t xml:space="preserve"> apo në distancë si edhe duke urdh</w:t>
          </w:r>
          <w:r w:rsidR="00384F88">
            <w:rPr>
              <w:szCs w:val="24"/>
              <w:lang w:val="sq-AL"/>
            </w:rPr>
            <w:t>ë</w:t>
          </w:r>
          <w:r>
            <w:rPr>
              <w:szCs w:val="24"/>
              <w:lang w:val="sq-AL"/>
            </w:rPr>
            <w:t>ruar</w:t>
          </w:r>
          <w:r w:rsidRPr="004047DE">
            <w:rPr>
              <w:szCs w:val="24"/>
              <w:lang w:val="sq-AL"/>
            </w:rPr>
            <w:t xml:space="preserve"> institucionet financiare të ndërpresin çdo praktikë që është në kundërshtim me dispozitat e këtij ligji</w:t>
          </w:r>
        </w:p>
        <w:p w:rsidR="00225F7F" w:rsidRPr="001E1501" w:rsidRDefault="000F1D62" w:rsidP="001E1501">
          <w:pPr>
            <w:spacing w:line="276" w:lineRule="auto"/>
            <w:ind w:left="360"/>
            <w:contextualSpacing/>
            <w:jc w:val="both"/>
            <w:rPr>
              <w:szCs w:val="24"/>
              <w:lang w:val="sq-AL"/>
            </w:rPr>
            <w:sectPr w:rsidR="00225F7F" w:rsidRPr="001E1501" w:rsidSect="00F219AD">
              <w:headerReference w:type="even" r:id="rId11"/>
              <w:footerReference w:type="default" r:id="rId12"/>
              <w:footnotePr>
                <w:numRestart w:val="eachSect"/>
              </w:footnotePr>
              <w:type w:val="continuous"/>
              <w:pgSz w:w="11907" w:h="16840" w:code="9"/>
              <w:pgMar w:top="680" w:right="851" w:bottom="680" w:left="851" w:header="284" w:footer="284" w:gutter="0"/>
              <w:cols w:space="708"/>
              <w:docGrid w:linePitch="360"/>
            </w:sectPr>
          </w:pPr>
          <w:r w:rsidRPr="000F1D62">
            <w:rPr>
              <w:szCs w:val="24"/>
              <w:lang w:val="sq-AL"/>
            </w:rPr>
            <w:t xml:space="preserve">Gjithashtu, për të bërë të mundur implementimin e tij do të nxirren një sërë aktesh nënligjore  </w:t>
          </w:r>
          <w:r w:rsidR="001C03F7">
            <w:rPr>
              <w:szCs w:val="24"/>
              <w:lang w:val="sq-AL"/>
            </w:rPr>
            <w:t xml:space="preserve">si psh. </w:t>
          </w:r>
          <w:r w:rsidRPr="000F1D62">
            <w:rPr>
              <w:szCs w:val="24"/>
              <w:lang w:val="sq-AL"/>
            </w:rPr>
            <w:t>udhëzime ministri për zbatimin e Ligjit "P</w:t>
          </w:r>
          <w:r w:rsidR="008E63A7">
            <w:rPr>
              <w:szCs w:val="24"/>
              <w:lang w:val="sq-AL"/>
            </w:rPr>
            <w:t>ë</w:t>
          </w:r>
          <w:r w:rsidRPr="000F1D62">
            <w:rPr>
              <w:szCs w:val="24"/>
              <w:lang w:val="sq-AL"/>
            </w:rPr>
            <w:t>r regjistrin Qendror t</w:t>
          </w:r>
          <w:r w:rsidR="008E63A7">
            <w:rPr>
              <w:szCs w:val="24"/>
              <w:lang w:val="sq-AL"/>
            </w:rPr>
            <w:t>ë</w:t>
          </w:r>
          <w:r w:rsidRPr="000F1D62">
            <w:rPr>
              <w:szCs w:val="24"/>
              <w:lang w:val="sq-AL"/>
            </w:rPr>
            <w:t xml:space="preserve"> Llogarive bankare”,  V</w:t>
          </w:r>
          <w:r w:rsidR="001C03F7">
            <w:rPr>
              <w:szCs w:val="24"/>
              <w:lang w:val="sq-AL"/>
            </w:rPr>
            <w:t>endim i Këshillit të Ministrave</w:t>
          </w:r>
          <w:r w:rsidRPr="000F1D62">
            <w:rPr>
              <w:szCs w:val="24"/>
              <w:lang w:val="sq-AL"/>
            </w:rPr>
            <w:t xml:space="preserve"> </w:t>
          </w:r>
        </w:p>
      </w:sdtContent>
    </w:sdt>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b/>
          <w:szCs w:val="22"/>
          <w:lang w:val="sq-AL"/>
        </w:rPr>
      </w:pPr>
    </w:p>
    <w:p w:rsidR="00A512E8" w:rsidRDefault="00A512E8" w:rsidP="00A512E8">
      <w:pPr>
        <w:jc w:val="both"/>
        <w:rPr>
          <w:szCs w:val="22"/>
          <w:lang w:val="sq-AL"/>
        </w:rPr>
      </w:pPr>
      <w:r>
        <w:rPr>
          <w:b/>
          <w:szCs w:val="22"/>
          <w:lang w:val="sq-AL"/>
        </w:rPr>
        <w:t>Raporti i vlerësimit të ndikimit - Shtojca 2/a</w:t>
      </w:r>
    </w:p>
    <w:p w:rsidR="00A512E8" w:rsidRDefault="00A512E8" w:rsidP="00A512E8">
      <w:pPr>
        <w:rPr>
          <w:rStyle w:val="Strong"/>
          <w:rFonts w:ascii="Arial" w:hAnsi="Arial"/>
          <w:b w:val="0"/>
        </w:rPr>
      </w:pPr>
    </w:p>
    <w:p w:rsidR="00A512E8" w:rsidRDefault="00A512E8" w:rsidP="00A512E8">
      <w:pPr>
        <w:rPr>
          <w:rStyle w:val="Strong"/>
          <w:b w:val="0"/>
          <w:szCs w:val="22"/>
          <w:lang w:val="sq-AL"/>
        </w:rPr>
      </w:pPr>
      <w:r>
        <w:rPr>
          <w:rStyle w:val="Strong"/>
          <w:i/>
          <w:szCs w:val="22"/>
          <w:lang w:val="sq-AL"/>
        </w:rPr>
        <w:t>Tabela: Vlera aktuale neto në total (VAN) - kostot dhe përfitimet me vlerë monetare të përcaktuar në milionë lekë e zbritur për 10 vjet (Vlera aktuale e kostos dhe vlera aktuale e përfitimit); krahasuar me status quo-në</w:t>
      </w:r>
      <w:r>
        <w:rPr>
          <w:rStyle w:val="Strong"/>
          <w:szCs w:val="22"/>
          <w:lang w:val="sq-AL"/>
        </w:rPr>
        <w:t xml:space="preserve">.    </w:t>
      </w:r>
    </w:p>
    <w:p w:rsidR="00A512E8" w:rsidRDefault="00A512E8" w:rsidP="00A512E8"/>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A512E8" w:rsidTr="00A512E8">
        <w:tc>
          <w:tcPr>
            <w:tcW w:w="26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Viti  1</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2</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3</w:t>
            </w:r>
          </w:p>
        </w:tc>
        <w:tc>
          <w:tcPr>
            <w:tcW w:w="639"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4</w:t>
            </w:r>
          </w:p>
        </w:tc>
        <w:tc>
          <w:tcPr>
            <w:tcW w:w="711"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5</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6</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7</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8</w:t>
            </w:r>
          </w:p>
        </w:tc>
        <w:tc>
          <w:tcPr>
            <w:tcW w:w="72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9</w:t>
            </w:r>
          </w:p>
        </w:tc>
        <w:tc>
          <w:tcPr>
            <w:tcW w:w="810" w:type="dxa"/>
            <w:tcBorders>
              <w:top w:val="single" w:sz="4" w:space="0" w:color="auto"/>
              <w:left w:val="single" w:sz="4" w:space="0" w:color="auto"/>
              <w:bottom w:val="single" w:sz="4" w:space="0" w:color="auto"/>
              <w:right w:val="single" w:sz="4" w:space="0" w:color="auto"/>
            </w:tcBorders>
            <w:hideMark/>
          </w:tcPr>
          <w:p w:rsidR="00A512E8" w:rsidRDefault="00A512E8">
            <w:pPr>
              <w:jc w:val="center"/>
              <w:rPr>
                <w:lang w:val="sq-AL"/>
              </w:rPr>
            </w:pPr>
            <w:r>
              <w:rPr>
                <w:lang w:val="sq-AL"/>
              </w:rPr>
              <w:t>Viti 10</w:t>
            </w: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b/>
                <w:lang w:val="sq-AL"/>
              </w:rPr>
              <w:t xml:space="preserve">Faktori zbritës </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jc w:val="center"/>
              <w:rPr>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Kosto për buxhetin – një herë</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Kosto për buxhetin – në vazhdim</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lang w:val="sq-AL"/>
              </w:rPr>
              <w:t>Kosto për biznesin – një herë</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lang w:val="sq-AL"/>
              </w:rPr>
              <w:t>Kosto për biznesin – në vazhdim</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Kosto për grupet e tjera – një herë</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 xml:space="preserve">Kosto për grupet e tjera – në vazhdim </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b/>
                <w:lang w:val="sq-AL"/>
              </w:rPr>
              <w:t xml:space="preserve">Kosto në total </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b/>
                <w:lang w:val="sq-AL"/>
              </w:rPr>
              <w:t xml:space="preserve">Kosto e zbritur në total </w:t>
            </w:r>
            <w:r>
              <w:rPr>
                <w:lang w:val="sq-AL"/>
              </w:rPr>
              <w:t>= Kosto në total x faktorin zbritës</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Përfitimi për buxhetin – në vazhdim</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lang w:val="sq-AL"/>
              </w:rPr>
              <w:t>Përfitimi për biznesin – një herë</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lang w:val="sq-AL"/>
              </w:rPr>
              <w:t>Përfitimi për biznesin – në vazhdim</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Përfitimi për grupet e tjera – njëherë</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 xml:space="preserve">Përfitimi për grupet e tjera – në vazhdim </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lang w:val="sq-AL"/>
              </w:rPr>
              <w:t>Kosto për buxhetin – në vazhdim</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b/>
                <w:lang w:val="sq-AL"/>
              </w:rPr>
              <w:t>Përfitimi në total</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lang w:val="sq-AL"/>
              </w:rPr>
            </w:pPr>
            <w:r>
              <w:rPr>
                <w:b/>
                <w:lang w:val="sq-AL"/>
              </w:rPr>
              <w:t xml:space="preserve">Përfitimi i zbritur në total </w:t>
            </w:r>
            <w:r>
              <w:rPr>
                <w:lang w:val="sq-AL"/>
              </w:rPr>
              <w:t>= Përfitimi në total x faktorin zbritës</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639"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11"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c>
          <w:tcPr>
            <w:tcW w:w="81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rPr>
          <w:gridAfter w:val="9"/>
          <w:wAfter w:w="6480" w:type="dxa"/>
        </w:trPr>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lang w:val="sq-AL"/>
              </w:rPr>
            </w:pPr>
            <w:r>
              <w:rPr>
                <w:b/>
                <w:lang w:val="sq-AL"/>
              </w:rPr>
              <w:t xml:space="preserve">Vlera aktuale e kostos në total </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b/>
                <w:szCs w:val="22"/>
                <w:lang w:val="sq-AL"/>
              </w:rPr>
            </w:pPr>
          </w:p>
        </w:tc>
      </w:tr>
      <w:tr w:rsidR="00A512E8" w:rsidTr="00A512E8">
        <w:trPr>
          <w:gridAfter w:val="9"/>
          <w:wAfter w:w="6480" w:type="dxa"/>
        </w:trPr>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szCs w:val="22"/>
                <w:lang w:val="sq-AL"/>
              </w:rPr>
            </w:pPr>
            <w:r>
              <w:rPr>
                <w:b/>
                <w:lang w:val="sq-AL"/>
              </w:rPr>
              <w:t>Vlera aktuale e përfitimit në total</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r w:rsidR="00A512E8" w:rsidTr="00A512E8">
        <w:trPr>
          <w:gridAfter w:val="9"/>
          <w:wAfter w:w="6480" w:type="dxa"/>
        </w:trPr>
        <w:tc>
          <w:tcPr>
            <w:tcW w:w="2610" w:type="dxa"/>
            <w:tcBorders>
              <w:top w:val="single" w:sz="4" w:space="0" w:color="auto"/>
              <w:left w:val="single" w:sz="4" w:space="0" w:color="auto"/>
              <w:bottom w:val="single" w:sz="4" w:space="0" w:color="auto"/>
              <w:right w:val="single" w:sz="4" w:space="0" w:color="auto"/>
            </w:tcBorders>
            <w:hideMark/>
          </w:tcPr>
          <w:p w:rsidR="00A512E8" w:rsidRDefault="00A512E8">
            <w:pPr>
              <w:rPr>
                <w:b/>
                <w:szCs w:val="22"/>
                <w:lang w:val="sq-AL"/>
              </w:rPr>
            </w:pPr>
            <w:r>
              <w:rPr>
                <w:b/>
                <w:lang w:val="sq-AL"/>
              </w:rPr>
              <w:t>Vlera aktuale neto (VAN) =</w:t>
            </w:r>
            <w:r>
              <w:rPr>
                <w:lang w:val="sq-AL"/>
              </w:rPr>
              <w:t xml:space="preserve"> Vlera aktuale e përfitimit në total – Vlera aktuale e kostos në total</w:t>
            </w:r>
          </w:p>
        </w:tc>
        <w:tc>
          <w:tcPr>
            <w:tcW w:w="720" w:type="dxa"/>
            <w:tcBorders>
              <w:top w:val="single" w:sz="4" w:space="0" w:color="auto"/>
              <w:left w:val="single" w:sz="4" w:space="0" w:color="auto"/>
              <w:bottom w:val="single" w:sz="4" w:space="0" w:color="auto"/>
              <w:right w:val="single" w:sz="4" w:space="0" w:color="auto"/>
            </w:tcBorders>
          </w:tcPr>
          <w:p w:rsidR="00A512E8" w:rsidRDefault="00A512E8">
            <w:pPr>
              <w:rPr>
                <w:szCs w:val="22"/>
                <w:lang w:val="sq-AL"/>
              </w:rPr>
            </w:pPr>
          </w:p>
        </w:tc>
      </w:tr>
    </w:tbl>
    <w:p w:rsidR="00A512E8" w:rsidRDefault="00A512E8" w:rsidP="00A512E8">
      <w:pPr>
        <w:rPr>
          <w:b/>
          <w:sz w:val="22"/>
          <w:szCs w:val="22"/>
          <w:lang w:val="sq-AL"/>
        </w:rPr>
      </w:pPr>
    </w:p>
    <w:p w:rsidR="00A512E8" w:rsidRDefault="00A512E8" w:rsidP="00A512E8">
      <w:pPr>
        <w:rPr>
          <w:rStyle w:val="Strong"/>
        </w:rPr>
      </w:pPr>
      <w:r>
        <w:rPr>
          <w:b/>
          <w:szCs w:val="22"/>
          <w:lang w:val="sq-AL"/>
        </w:rPr>
        <w:t xml:space="preserve">Raporti i vlerësimit të ndikimit - Shtojca 2/b </w:t>
      </w:r>
    </w:p>
    <w:p w:rsidR="00A512E8" w:rsidRDefault="00A512E8" w:rsidP="00A512E8">
      <w:pPr>
        <w:rPr>
          <w:rStyle w:val="Strong"/>
          <w:rFonts w:ascii="Arial" w:hAnsi="Arial"/>
          <w:b w:val="0"/>
          <w:szCs w:val="22"/>
          <w:lang w:val="sq-AL"/>
        </w:rPr>
      </w:pPr>
    </w:p>
    <w:p w:rsidR="00A512E8" w:rsidRDefault="00A512E8" w:rsidP="00A512E8">
      <w:pPr>
        <w:rPr>
          <w:rStyle w:val="Strong"/>
          <w:b w:val="0"/>
          <w:bCs w:val="0"/>
          <w:i/>
          <w:szCs w:val="22"/>
          <w:lang w:val="sq-AL"/>
        </w:rPr>
      </w:pPr>
      <w:r>
        <w:rPr>
          <w:rStyle w:val="Strong"/>
          <w:i/>
          <w:szCs w:val="22"/>
          <w:lang w:val="sq-AL"/>
        </w:rPr>
        <w:t xml:space="preserve">Tabelë: Vlera aktuale neto në total e çdo opsioni   </w:t>
      </w:r>
    </w:p>
    <w:p w:rsidR="00A512E8" w:rsidRDefault="00A512E8" w:rsidP="00A512E8">
      <w:pPr>
        <w:autoSpaceDE w:val="0"/>
        <w:autoSpaceDN w:val="0"/>
        <w:adjustRightInd w:val="0"/>
        <w:jc w:val="both"/>
      </w:pPr>
    </w:p>
    <w:tbl>
      <w:tblPr>
        <w:tblStyle w:val="TableGrid"/>
        <w:tblW w:w="9810" w:type="dxa"/>
        <w:tblInd w:w="-275" w:type="dxa"/>
        <w:tblLook w:val="04A0" w:firstRow="1" w:lastRow="0" w:firstColumn="1" w:lastColumn="0" w:noHBand="0" w:noVBand="1"/>
      </w:tblPr>
      <w:tblGrid>
        <w:gridCol w:w="1698"/>
        <w:gridCol w:w="2258"/>
        <w:gridCol w:w="2410"/>
        <w:gridCol w:w="3444"/>
      </w:tblGrid>
      <w:tr w:rsidR="00A512E8" w:rsidTr="00A512E8">
        <w:tc>
          <w:tcPr>
            <w:tcW w:w="1698" w:type="dxa"/>
            <w:vMerge w:val="restart"/>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center"/>
              <w:rPr>
                <w:szCs w:val="22"/>
                <w:lang w:val="sq-AL"/>
              </w:rPr>
            </w:pPr>
            <w:r>
              <w:rPr>
                <w:b/>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center"/>
              <w:rPr>
                <w:lang w:val="sq-AL"/>
              </w:rPr>
            </w:pPr>
            <w:r>
              <w:rPr>
                <w:b/>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center"/>
              <w:rPr>
                <w:lang w:val="sq-AL"/>
              </w:rPr>
            </w:pPr>
            <w:r>
              <w:rPr>
                <w:b/>
                <w:lang w:val="sq-AL"/>
              </w:rPr>
              <w:t>Vlera aktuale neto në milionë lekë</w:t>
            </w:r>
          </w:p>
        </w:tc>
      </w:tr>
      <w:tr w:rsidR="00A512E8" w:rsidTr="00A512E8">
        <w:tc>
          <w:tcPr>
            <w:tcW w:w="0" w:type="auto"/>
            <w:vMerge/>
            <w:tcBorders>
              <w:top w:val="single" w:sz="4" w:space="0" w:color="auto"/>
              <w:left w:val="single" w:sz="4" w:space="0" w:color="auto"/>
              <w:bottom w:val="single" w:sz="4" w:space="0" w:color="auto"/>
              <w:right w:val="single" w:sz="4" w:space="0" w:color="auto"/>
            </w:tcBorders>
            <w:vAlign w:val="center"/>
            <w:hideMark/>
          </w:tcPr>
          <w:p w:rsidR="00A512E8" w:rsidRDefault="00A512E8">
            <w:pPr>
              <w:rPr>
                <w:sz w:val="22"/>
                <w:szCs w:val="22"/>
                <w:lang w:val="sq-AL"/>
              </w:rPr>
            </w:pPr>
          </w:p>
        </w:tc>
        <w:tc>
          <w:tcPr>
            <w:tcW w:w="2258" w:type="dxa"/>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center"/>
              <w:rPr>
                <w:b/>
                <w:lang w:val="sq-AL"/>
              </w:rPr>
            </w:pPr>
            <w:r>
              <w:rPr>
                <w:b/>
                <w:lang w:val="sq-AL"/>
              </w:rPr>
              <w:t>Kosto</w:t>
            </w:r>
          </w:p>
        </w:tc>
        <w:tc>
          <w:tcPr>
            <w:tcW w:w="2410" w:type="dxa"/>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center"/>
              <w:rPr>
                <w:b/>
                <w:lang w:val="sq-AL"/>
              </w:rPr>
            </w:pPr>
            <w:r>
              <w:rPr>
                <w:b/>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2E8" w:rsidRDefault="00A512E8">
            <w:pPr>
              <w:rPr>
                <w:sz w:val="22"/>
                <w:szCs w:val="22"/>
                <w:lang w:val="sq-AL"/>
              </w:rPr>
            </w:pPr>
          </w:p>
        </w:tc>
      </w:tr>
      <w:tr w:rsidR="00A512E8" w:rsidTr="00A512E8">
        <w:tc>
          <w:tcPr>
            <w:tcW w:w="1698" w:type="dxa"/>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both"/>
              <w:rPr>
                <w:lang w:val="sq-AL"/>
              </w:rPr>
            </w:pPr>
            <w:r>
              <w:rPr>
                <w:lang w:val="sq-AL"/>
              </w:rPr>
              <w:t>Opsioni 1</w:t>
            </w:r>
          </w:p>
        </w:tc>
        <w:tc>
          <w:tcPr>
            <w:tcW w:w="2258"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c>
          <w:tcPr>
            <w:tcW w:w="2410"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c>
          <w:tcPr>
            <w:tcW w:w="3444"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r>
      <w:tr w:rsidR="00A512E8" w:rsidTr="00A512E8">
        <w:tc>
          <w:tcPr>
            <w:tcW w:w="1698" w:type="dxa"/>
            <w:tcBorders>
              <w:top w:val="single" w:sz="4" w:space="0" w:color="auto"/>
              <w:left w:val="single" w:sz="4" w:space="0" w:color="auto"/>
              <w:bottom w:val="single" w:sz="4" w:space="0" w:color="auto"/>
              <w:right w:val="single" w:sz="4" w:space="0" w:color="auto"/>
            </w:tcBorders>
            <w:hideMark/>
          </w:tcPr>
          <w:p w:rsidR="00A512E8" w:rsidRDefault="00A512E8">
            <w:pPr>
              <w:autoSpaceDE w:val="0"/>
              <w:autoSpaceDN w:val="0"/>
              <w:adjustRightInd w:val="0"/>
              <w:jc w:val="both"/>
              <w:rPr>
                <w:lang w:val="sq-AL"/>
              </w:rPr>
            </w:pPr>
            <w:r>
              <w:rPr>
                <w:lang w:val="sq-AL"/>
              </w:rPr>
              <w:t>Opsioni 2</w:t>
            </w:r>
          </w:p>
        </w:tc>
        <w:tc>
          <w:tcPr>
            <w:tcW w:w="2258"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c>
          <w:tcPr>
            <w:tcW w:w="2410"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c>
          <w:tcPr>
            <w:tcW w:w="3444" w:type="dxa"/>
            <w:tcBorders>
              <w:top w:val="single" w:sz="4" w:space="0" w:color="auto"/>
              <w:left w:val="single" w:sz="4" w:space="0" w:color="auto"/>
              <w:bottom w:val="single" w:sz="4" w:space="0" w:color="auto"/>
              <w:right w:val="single" w:sz="4" w:space="0" w:color="auto"/>
            </w:tcBorders>
          </w:tcPr>
          <w:p w:rsidR="00A512E8" w:rsidRDefault="00A512E8">
            <w:pPr>
              <w:autoSpaceDE w:val="0"/>
              <w:autoSpaceDN w:val="0"/>
              <w:adjustRightInd w:val="0"/>
              <w:jc w:val="center"/>
              <w:rPr>
                <w:lang w:val="sq-AL"/>
              </w:rPr>
            </w:pPr>
          </w:p>
        </w:tc>
      </w:tr>
    </w:tbl>
    <w:p w:rsidR="00A512E8" w:rsidRDefault="00A512E8" w:rsidP="00A512E8">
      <w:pPr>
        <w:rPr>
          <w:b/>
          <w:color w:val="FF0000"/>
          <w:sz w:val="22"/>
          <w:szCs w:val="22"/>
          <w:lang w:val="sq-AL"/>
        </w:rPr>
      </w:pPr>
    </w:p>
    <w:p w:rsidR="00A512E8" w:rsidRDefault="00A512E8" w:rsidP="00A512E8">
      <w:pPr>
        <w:spacing w:line="276" w:lineRule="auto"/>
        <w:jc w:val="both"/>
        <w:rPr>
          <w:b/>
          <w:szCs w:val="24"/>
          <w:lang w:val="sq-AL"/>
        </w:rPr>
      </w:pPr>
    </w:p>
    <w:p w:rsidR="00A512E8" w:rsidRDefault="00A512E8" w:rsidP="00A512E8">
      <w:pPr>
        <w:spacing w:line="276" w:lineRule="auto"/>
        <w:jc w:val="both"/>
        <w:rPr>
          <w:b/>
          <w:szCs w:val="24"/>
          <w:lang w:val="sq-AL"/>
        </w:rPr>
      </w:pPr>
    </w:p>
    <w:p w:rsidR="00A512E8" w:rsidRDefault="00A512E8" w:rsidP="00A512E8">
      <w:pPr>
        <w:spacing w:line="276" w:lineRule="auto"/>
        <w:jc w:val="both"/>
        <w:rPr>
          <w:b/>
          <w:szCs w:val="24"/>
          <w:lang w:val="sq-AL"/>
        </w:rPr>
      </w:pPr>
    </w:p>
    <w:p w:rsidR="00A512E8" w:rsidRDefault="00A512E8" w:rsidP="00A512E8">
      <w:pPr>
        <w:spacing w:line="276" w:lineRule="auto"/>
        <w:jc w:val="both"/>
        <w:rPr>
          <w:b/>
          <w:szCs w:val="24"/>
          <w:lang w:val="sq-AL"/>
        </w:rPr>
      </w:pPr>
    </w:p>
    <w:p w:rsidR="00A512E8" w:rsidRDefault="00A512E8" w:rsidP="00A512E8">
      <w:pPr>
        <w:spacing w:line="276" w:lineRule="auto"/>
        <w:jc w:val="both"/>
        <w:rPr>
          <w:b/>
          <w:szCs w:val="24"/>
          <w:lang w:val="sq-AL"/>
        </w:rPr>
      </w:pPr>
    </w:p>
    <w:p w:rsidR="002125B7" w:rsidRPr="00325A1F" w:rsidRDefault="002125B7" w:rsidP="00A512E8">
      <w:pPr>
        <w:spacing w:line="276" w:lineRule="auto"/>
        <w:jc w:val="center"/>
        <w:rPr>
          <w:b/>
          <w:szCs w:val="24"/>
          <w:lang w:val="sq-AL"/>
        </w:rPr>
      </w:pPr>
      <w:r w:rsidRPr="00325A1F">
        <w:rPr>
          <w:b/>
          <w:szCs w:val="24"/>
          <w:lang w:val="sq-AL"/>
        </w:rPr>
        <w:t>MINISTËR</w:t>
      </w:r>
    </w:p>
    <w:p w:rsidR="002125B7" w:rsidRPr="00325A1F" w:rsidRDefault="002125B7" w:rsidP="00A512E8">
      <w:pPr>
        <w:spacing w:line="276" w:lineRule="auto"/>
        <w:jc w:val="center"/>
        <w:rPr>
          <w:b/>
          <w:szCs w:val="24"/>
          <w:lang w:val="sq-AL"/>
        </w:rPr>
      </w:pPr>
    </w:p>
    <w:p w:rsidR="005B47AA" w:rsidRPr="00325A1F" w:rsidRDefault="000F1D62" w:rsidP="00A512E8">
      <w:pPr>
        <w:spacing w:line="276" w:lineRule="auto"/>
        <w:jc w:val="center"/>
        <w:rPr>
          <w:b/>
          <w:szCs w:val="24"/>
          <w:lang w:val="sq-AL"/>
        </w:rPr>
      </w:pPr>
      <w:r>
        <w:rPr>
          <w:color w:val="808080" w:themeColor="background1" w:themeShade="80"/>
          <w:szCs w:val="24"/>
        </w:rPr>
        <w:t>Anila Denaj</w:t>
      </w:r>
    </w:p>
    <w:p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C8" w:rsidRDefault="00B16AC8">
      <w:r>
        <w:separator/>
      </w:r>
    </w:p>
  </w:endnote>
  <w:endnote w:type="continuationSeparator" w:id="0">
    <w:p w:rsidR="00B16AC8" w:rsidRDefault="00B1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4EF" w:rsidRPr="00EB43FD" w:rsidRDefault="002864EF"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822132">
      <w:rPr>
        <w:rStyle w:val="PageNumber"/>
        <w:b w:val="0"/>
        <w:noProof/>
        <w:szCs w:val="18"/>
      </w:rPr>
      <w:t>1</w:t>
    </w:r>
    <w:r w:rsidRPr="00EB43FD">
      <w:rPr>
        <w:rStyle w:val="PageNumber"/>
        <w:b w:val="0"/>
        <w:szCs w:val="18"/>
      </w:rPr>
      <w:fldChar w:fldCharType="end"/>
    </w:r>
  </w:p>
  <w:p w:rsidR="002864EF" w:rsidRDefault="002864EF"/>
  <w:p w:rsidR="002864EF" w:rsidRDefault="002864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C8" w:rsidRDefault="00B16AC8">
      <w:r>
        <w:separator/>
      </w:r>
    </w:p>
  </w:footnote>
  <w:footnote w:type="continuationSeparator" w:id="0">
    <w:p w:rsidR="00B16AC8" w:rsidRDefault="00B16AC8">
      <w:r>
        <w:continuationSeparator/>
      </w:r>
    </w:p>
  </w:footnote>
  <w:footnote w:id="1">
    <w:p w:rsidR="002864EF" w:rsidRPr="001F6514" w:rsidRDefault="002864EF" w:rsidP="00123ABA">
      <w:pPr>
        <w:pStyle w:val="FootnoteText"/>
        <w:jc w:val="both"/>
        <w:rPr>
          <w:sz w:val="22"/>
          <w:szCs w:val="22"/>
        </w:rPr>
      </w:pPr>
      <w:r w:rsidRPr="001F6514">
        <w:rPr>
          <w:rStyle w:val="FootnoteReference"/>
          <w:szCs w:val="22"/>
        </w:rPr>
        <w:footnoteRef/>
      </w:r>
      <w:r w:rsidRPr="001F6514">
        <w:rPr>
          <w:sz w:val="22"/>
          <w:szCs w:val="22"/>
        </w:rPr>
        <w:t xml:space="preserve"> “Arrangement for the implementation of the Joint Action Plan on Counter-Terrorism for the Western Balkans between the European Commission and the authorities of Albania”/ Envisaged implementing priority actions for the Albanian Authorities.</w:t>
      </w:r>
    </w:p>
  </w:footnote>
  <w:footnote w:id="2">
    <w:p w:rsidR="002864EF" w:rsidRPr="001F6514" w:rsidRDefault="002864EF" w:rsidP="008E63A7">
      <w:pPr>
        <w:pStyle w:val="FootnoteText"/>
        <w:jc w:val="righ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4EF" w:rsidRDefault="002864EF"/>
  <w:p w:rsidR="002864EF" w:rsidRDefault="002864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20F27CC"/>
    <w:multiLevelType w:val="hybridMultilevel"/>
    <w:tmpl w:val="FF74CBDC"/>
    <w:lvl w:ilvl="0" w:tplc="3830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52C3F81"/>
    <w:multiLevelType w:val="hybridMultilevel"/>
    <w:tmpl w:val="EF181616"/>
    <w:lvl w:ilvl="0" w:tplc="8A0A1B8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32D847B8"/>
    <w:multiLevelType w:val="hybridMultilevel"/>
    <w:tmpl w:val="114026AA"/>
    <w:lvl w:ilvl="0" w:tplc="0409000F">
      <w:start w:val="1"/>
      <w:numFmt w:val="decimal"/>
      <w:lvlText w:val="%1."/>
      <w:lvlJc w:val="left"/>
      <w:pPr>
        <w:ind w:left="720" w:hanging="360"/>
      </w:pPr>
      <w:rPr>
        <w:rFonts w:hint="default"/>
      </w:rPr>
    </w:lvl>
    <w:lvl w:ilvl="1" w:tplc="C86667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3A162383"/>
    <w:multiLevelType w:val="hybridMultilevel"/>
    <w:tmpl w:val="FE0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ED76F32"/>
    <w:multiLevelType w:val="hybridMultilevel"/>
    <w:tmpl w:val="FE0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6C41B0"/>
    <w:multiLevelType w:val="hybridMultilevel"/>
    <w:tmpl w:val="810ACBD4"/>
    <w:lvl w:ilvl="0" w:tplc="DBC474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9">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CD379E7"/>
    <w:multiLevelType w:val="hybridMultilevel"/>
    <w:tmpl w:val="A0160B9A"/>
    <w:lvl w:ilvl="0" w:tplc="4EEE887C">
      <w:start w:val="1"/>
      <w:numFmt w:val="lowerLetter"/>
      <w:lvlText w:val="%1."/>
      <w:lvlJc w:val="left"/>
      <w:pPr>
        <w:ind w:left="171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1">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8"/>
  </w:num>
  <w:num w:numId="13">
    <w:abstractNumId w:val="10"/>
  </w:num>
  <w:num w:numId="14">
    <w:abstractNumId w:val="20"/>
  </w:num>
  <w:num w:numId="15">
    <w:abstractNumId w:val="17"/>
  </w:num>
  <w:num w:numId="16">
    <w:abstractNumId w:val="14"/>
  </w:num>
  <w:num w:numId="17">
    <w:abstractNumId w:val="17"/>
  </w:num>
  <w:num w:numId="18">
    <w:abstractNumId w:val="31"/>
  </w:num>
  <w:num w:numId="19">
    <w:abstractNumId w:val="31"/>
  </w:num>
  <w:num w:numId="20">
    <w:abstractNumId w:val="31"/>
  </w:num>
  <w:num w:numId="21">
    <w:abstractNumId w:val="17"/>
  </w:num>
  <w:num w:numId="22">
    <w:abstractNumId w:val="22"/>
  </w:num>
  <w:num w:numId="23">
    <w:abstractNumId w:val="26"/>
  </w:num>
  <w:num w:numId="24">
    <w:abstractNumId w:val="24"/>
  </w:num>
  <w:num w:numId="25">
    <w:abstractNumId w:val="29"/>
  </w:num>
  <w:num w:numId="26">
    <w:abstractNumId w:val="12"/>
  </w:num>
  <w:num w:numId="27">
    <w:abstractNumId w:val="16"/>
  </w:num>
  <w:num w:numId="28">
    <w:abstractNumId w:val="19"/>
  </w:num>
  <w:num w:numId="29">
    <w:abstractNumId w:val="27"/>
  </w:num>
  <w:num w:numId="30">
    <w:abstractNumId w:val="13"/>
  </w:num>
  <w:num w:numId="31">
    <w:abstractNumId w:val="23"/>
  </w:num>
  <w:num w:numId="32">
    <w:abstractNumId w:val="11"/>
  </w:num>
  <w:num w:numId="33">
    <w:abstractNumId w:val="18"/>
  </w:num>
  <w:num w:numId="34">
    <w:abstractNumId w:val="15"/>
  </w:num>
  <w:num w:numId="35">
    <w:abstractNumId w:val="2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B53"/>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51403"/>
    <w:rsid w:val="000526BB"/>
    <w:rsid w:val="00052F44"/>
    <w:rsid w:val="0005543F"/>
    <w:rsid w:val="00056EE6"/>
    <w:rsid w:val="0006047F"/>
    <w:rsid w:val="0006053F"/>
    <w:rsid w:val="00061D9C"/>
    <w:rsid w:val="00063FFC"/>
    <w:rsid w:val="000671A2"/>
    <w:rsid w:val="000705A0"/>
    <w:rsid w:val="00070EEB"/>
    <w:rsid w:val="00071110"/>
    <w:rsid w:val="00071299"/>
    <w:rsid w:val="00072272"/>
    <w:rsid w:val="0007524C"/>
    <w:rsid w:val="0007532E"/>
    <w:rsid w:val="0007637D"/>
    <w:rsid w:val="000767AC"/>
    <w:rsid w:val="0007695E"/>
    <w:rsid w:val="00076A78"/>
    <w:rsid w:val="00076C08"/>
    <w:rsid w:val="00082659"/>
    <w:rsid w:val="00082B2E"/>
    <w:rsid w:val="00082BAC"/>
    <w:rsid w:val="000860CC"/>
    <w:rsid w:val="00086128"/>
    <w:rsid w:val="0008731F"/>
    <w:rsid w:val="00093598"/>
    <w:rsid w:val="0009381F"/>
    <w:rsid w:val="00094680"/>
    <w:rsid w:val="000956FD"/>
    <w:rsid w:val="000A36EE"/>
    <w:rsid w:val="000A5C5D"/>
    <w:rsid w:val="000A6E4B"/>
    <w:rsid w:val="000A79FC"/>
    <w:rsid w:val="000B07A1"/>
    <w:rsid w:val="000B1176"/>
    <w:rsid w:val="000B14D5"/>
    <w:rsid w:val="000B1A2E"/>
    <w:rsid w:val="000B3E49"/>
    <w:rsid w:val="000C031E"/>
    <w:rsid w:val="000C165A"/>
    <w:rsid w:val="000C1D45"/>
    <w:rsid w:val="000C2589"/>
    <w:rsid w:val="000C30D8"/>
    <w:rsid w:val="000C3CF6"/>
    <w:rsid w:val="000C4589"/>
    <w:rsid w:val="000C57D5"/>
    <w:rsid w:val="000C6A87"/>
    <w:rsid w:val="000D1CB0"/>
    <w:rsid w:val="000D31B0"/>
    <w:rsid w:val="000D55B5"/>
    <w:rsid w:val="000D58BD"/>
    <w:rsid w:val="000D5974"/>
    <w:rsid w:val="000D5ED5"/>
    <w:rsid w:val="000D7F7C"/>
    <w:rsid w:val="000E02BE"/>
    <w:rsid w:val="000E3308"/>
    <w:rsid w:val="000E3FD7"/>
    <w:rsid w:val="000E452D"/>
    <w:rsid w:val="000F004E"/>
    <w:rsid w:val="000F0840"/>
    <w:rsid w:val="000F1D62"/>
    <w:rsid w:val="000F37BB"/>
    <w:rsid w:val="000F4481"/>
    <w:rsid w:val="000F5100"/>
    <w:rsid w:val="000F5463"/>
    <w:rsid w:val="000F57BB"/>
    <w:rsid w:val="000F66C9"/>
    <w:rsid w:val="00101961"/>
    <w:rsid w:val="00102870"/>
    <w:rsid w:val="00105947"/>
    <w:rsid w:val="00110396"/>
    <w:rsid w:val="001110DB"/>
    <w:rsid w:val="00115D70"/>
    <w:rsid w:val="00120113"/>
    <w:rsid w:val="001235DD"/>
    <w:rsid w:val="0012369A"/>
    <w:rsid w:val="00123ABA"/>
    <w:rsid w:val="001243CD"/>
    <w:rsid w:val="0012460B"/>
    <w:rsid w:val="00127373"/>
    <w:rsid w:val="0013023A"/>
    <w:rsid w:val="00131CE4"/>
    <w:rsid w:val="00133A17"/>
    <w:rsid w:val="00133C58"/>
    <w:rsid w:val="00134EA8"/>
    <w:rsid w:val="00135771"/>
    <w:rsid w:val="001365F4"/>
    <w:rsid w:val="0014140D"/>
    <w:rsid w:val="00141B6F"/>
    <w:rsid w:val="0014336D"/>
    <w:rsid w:val="001477D1"/>
    <w:rsid w:val="00150DAE"/>
    <w:rsid w:val="0015254E"/>
    <w:rsid w:val="00152C60"/>
    <w:rsid w:val="001535F3"/>
    <w:rsid w:val="00156E0C"/>
    <w:rsid w:val="00160691"/>
    <w:rsid w:val="00165113"/>
    <w:rsid w:val="0016531A"/>
    <w:rsid w:val="00170214"/>
    <w:rsid w:val="001709E2"/>
    <w:rsid w:val="00174C10"/>
    <w:rsid w:val="00175447"/>
    <w:rsid w:val="00182B85"/>
    <w:rsid w:val="00183038"/>
    <w:rsid w:val="00183882"/>
    <w:rsid w:val="001844B6"/>
    <w:rsid w:val="001851A3"/>
    <w:rsid w:val="001851B9"/>
    <w:rsid w:val="001855B1"/>
    <w:rsid w:val="00186D01"/>
    <w:rsid w:val="0019021E"/>
    <w:rsid w:val="00190A8C"/>
    <w:rsid w:val="00190F9A"/>
    <w:rsid w:val="00194050"/>
    <w:rsid w:val="00194745"/>
    <w:rsid w:val="00194E96"/>
    <w:rsid w:val="001A07F1"/>
    <w:rsid w:val="001A3B0B"/>
    <w:rsid w:val="001A4332"/>
    <w:rsid w:val="001A4432"/>
    <w:rsid w:val="001A478E"/>
    <w:rsid w:val="001A509E"/>
    <w:rsid w:val="001A6FE6"/>
    <w:rsid w:val="001A7B61"/>
    <w:rsid w:val="001A7D6D"/>
    <w:rsid w:val="001B1210"/>
    <w:rsid w:val="001B2F84"/>
    <w:rsid w:val="001B305C"/>
    <w:rsid w:val="001B34EB"/>
    <w:rsid w:val="001C03F7"/>
    <w:rsid w:val="001C0644"/>
    <w:rsid w:val="001C0B58"/>
    <w:rsid w:val="001C26AA"/>
    <w:rsid w:val="001C3363"/>
    <w:rsid w:val="001C4862"/>
    <w:rsid w:val="001C7C39"/>
    <w:rsid w:val="001D09CC"/>
    <w:rsid w:val="001D0AF4"/>
    <w:rsid w:val="001D12D6"/>
    <w:rsid w:val="001D1FC0"/>
    <w:rsid w:val="001D2096"/>
    <w:rsid w:val="001D3A43"/>
    <w:rsid w:val="001D3C11"/>
    <w:rsid w:val="001D4AA8"/>
    <w:rsid w:val="001D4D42"/>
    <w:rsid w:val="001D5EC9"/>
    <w:rsid w:val="001D6B90"/>
    <w:rsid w:val="001E0D36"/>
    <w:rsid w:val="001E1501"/>
    <w:rsid w:val="001E152A"/>
    <w:rsid w:val="001E1DA0"/>
    <w:rsid w:val="001E3B6F"/>
    <w:rsid w:val="001E429F"/>
    <w:rsid w:val="001E69A2"/>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4F0"/>
    <w:rsid w:val="00216F02"/>
    <w:rsid w:val="0021731F"/>
    <w:rsid w:val="00217BFB"/>
    <w:rsid w:val="00217CA1"/>
    <w:rsid w:val="00220F29"/>
    <w:rsid w:val="00221FAD"/>
    <w:rsid w:val="0022350E"/>
    <w:rsid w:val="0022490F"/>
    <w:rsid w:val="00225D0A"/>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2AA"/>
    <w:rsid w:val="00246360"/>
    <w:rsid w:val="00246AF8"/>
    <w:rsid w:val="00250259"/>
    <w:rsid w:val="00251ED1"/>
    <w:rsid w:val="002530A8"/>
    <w:rsid w:val="00253306"/>
    <w:rsid w:val="00253F4D"/>
    <w:rsid w:val="002555BE"/>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64EF"/>
    <w:rsid w:val="0028755A"/>
    <w:rsid w:val="00287BA8"/>
    <w:rsid w:val="00287DF9"/>
    <w:rsid w:val="00290335"/>
    <w:rsid w:val="0029158C"/>
    <w:rsid w:val="002A06DA"/>
    <w:rsid w:val="002A33A0"/>
    <w:rsid w:val="002A456F"/>
    <w:rsid w:val="002A66D3"/>
    <w:rsid w:val="002A6E2B"/>
    <w:rsid w:val="002B2572"/>
    <w:rsid w:val="002B4D79"/>
    <w:rsid w:val="002B7335"/>
    <w:rsid w:val="002B77F5"/>
    <w:rsid w:val="002C1D0C"/>
    <w:rsid w:val="002C1EC2"/>
    <w:rsid w:val="002C331D"/>
    <w:rsid w:val="002C76CF"/>
    <w:rsid w:val="002D1AE9"/>
    <w:rsid w:val="002D2D7E"/>
    <w:rsid w:val="002D3103"/>
    <w:rsid w:val="002D345C"/>
    <w:rsid w:val="002D4104"/>
    <w:rsid w:val="002D4177"/>
    <w:rsid w:val="002D548B"/>
    <w:rsid w:val="002D66B1"/>
    <w:rsid w:val="002D7616"/>
    <w:rsid w:val="002D7ECF"/>
    <w:rsid w:val="002E1C94"/>
    <w:rsid w:val="002E46DE"/>
    <w:rsid w:val="002E5406"/>
    <w:rsid w:val="002E753B"/>
    <w:rsid w:val="002E78D7"/>
    <w:rsid w:val="002F0E18"/>
    <w:rsid w:val="002F1CB1"/>
    <w:rsid w:val="002F3633"/>
    <w:rsid w:val="002F5B67"/>
    <w:rsid w:val="002F653C"/>
    <w:rsid w:val="002F7D4C"/>
    <w:rsid w:val="00300CED"/>
    <w:rsid w:val="00300D77"/>
    <w:rsid w:val="003030E1"/>
    <w:rsid w:val="00304677"/>
    <w:rsid w:val="00304C1D"/>
    <w:rsid w:val="003059A7"/>
    <w:rsid w:val="00306401"/>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2750A"/>
    <w:rsid w:val="00331DCE"/>
    <w:rsid w:val="00332055"/>
    <w:rsid w:val="00332280"/>
    <w:rsid w:val="003323DB"/>
    <w:rsid w:val="00332B05"/>
    <w:rsid w:val="003330C7"/>
    <w:rsid w:val="00335C9A"/>
    <w:rsid w:val="003409BF"/>
    <w:rsid w:val="00341944"/>
    <w:rsid w:val="00345525"/>
    <w:rsid w:val="00347039"/>
    <w:rsid w:val="00351302"/>
    <w:rsid w:val="0035575B"/>
    <w:rsid w:val="00355E73"/>
    <w:rsid w:val="00356841"/>
    <w:rsid w:val="00357DAD"/>
    <w:rsid w:val="003640B6"/>
    <w:rsid w:val="00364715"/>
    <w:rsid w:val="00365687"/>
    <w:rsid w:val="003657AB"/>
    <w:rsid w:val="003709CB"/>
    <w:rsid w:val="00370A03"/>
    <w:rsid w:val="00372979"/>
    <w:rsid w:val="00372A69"/>
    <w:rsid w:val="00376491"/>
    <w:rsid w:val="00380189"/>
    <w:rsid w:val="00380A15"/>
    <w:rsid w:val="00381107"/>
    <w:rsid w:val="00381308"/>
    <w:rsid w:val="003818E8"/>
    <w:rsid w:val="00383295"/>
    <w:rsid w:val="003848EF"/>
    <w:rsid w:val="00384905"/>
    <w:rsid w:val="00384F88"/>
    <w:rsid w:val="00385BF8"/>
    <w:rsid w:val="00386560"/>
    <w:rsid w:val="003946A1"/>
    <w:rsid w:val="00395DFD"/>
    <w:rsid w:val="00395F95"/>
    <w:rsid w:val="00396C1A"/>
    <w:rsid w:val="003972F5"/>
    <w:rsid w:val="003A12B1"/>
    <w:rsid w:val="003A12EA"/>
    <w:rsid w:val="003A151C"/>
    <w:rsid w:val="003A3977"/>
    <w:rsid w:val="003A53C5"/>
    <w:rsid w:val="003A5EEC"/>
    <w:rsid w:val="003A6079"/>
    <w:rsid w:val="003A68AB"/>
    <w:rsid w:val="003A7572"/>
    <w:rsid w:val="003B00FB"/>
    <w:rsid w:val="003B04F0"/>
    <w:rsid w:val="003B1336"/>
    <w:rsid w:val="003B20FC"/>
    <w:rsid w:val="003B30DD"/>
    <w:rsid w:val="003B3E18"/>
    <w:rsid w:val="003B5CBC"/>
    <w:rsid w:val="003B72CF"/>
    <w:rsid w:val="003B78AB"/>
    <w:rsid w:val="003B7DC7"/>
    <w:rsid w:val="003C2DEE"/>
    <w:rsid w:val="003C4286"/>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80"/>
    <w:rsid w:val="004041B8"/>
    <w:rsid w:val="004045D6"/>
    <w:rsid w:val="00405ACA"/>
    <w:rsid w:val="00406B23"/>
    <w:rsid w:val="0041537A"/>
    <w:rsid w:val="00415552"/>
    <w:rsid w:val="00416050"/>
    <w:rsid w:val="00417259"/>
    <w:rsid w:val="004175D4"/>
    <w:rsid w:val="004213F0"/>
    <w:rsid w:val="00422963"/>
    <w:rsid w:val="004240A9"/>
    <w:rsid w:val="0042494E"/>
    <w:rsid w:val="00426AB3"/>
    <w:rsid w:val="00430D68"/>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7931"/>
    <w:rsid w:val="004A14BC"/>
    <w:rsid w:val="004A3D93"/>
    <w:rsid w:val="004A3EFD"/>
    <w:rsid w:val="004A3F27"/>
    <w:rsid w:val="004A496D"/>
    <w:rsid w:val="004A7E39"/>
    <w:rsid w:val="004B1880"/>
    <w:rsid w:val="004B3B7B"/>
    <w:rsid w:val="004B4937"/>
    <w:rsid w:val="004B5251"/>
    <w:rsid w:val="004C0D2E"/>
    <w:rsid w:val="004C0DDA"/>
    <w:rsid w:val="004C1BBB"/>
    <w:rsid w:val="004C3CF1"/>
    <w:rsid w:val="004C4C8F"/>
    <w:rsid w:val="004C5754"/>
    <w:rsid w:val="004D0574"/>
    <w:rsid w:val="004D0C7C"/>
    <w:rsid w:val="004D118B"/>
    <w:rsid w:val="004D3429"/>
    <w:rsid w:val="004D6A72"/>
    <w:rsid w:val="004E1174"/>
    <w:rsid w:val="004E18C3"/>
    <w:rsid w:val="004E242F"/>
    <w:rsid w:val="004E29C6"/>
    <w:rsid w:val="004E3E8F"/>
    <w:rsid w:val="004E4095"/>
    <w:rsid w:val="004E5E6C"/>
    <w:rsid w:val="004E6683"/>
    <w:rsid w:val="004F5E43"/>
    <w:rsid w:val="004F7BA3"/>
    <w:rsid w:val="00500698"/>
    <w:rsid w:val="00500C9D"/>
    <w:rsid w:val="00503C39"/>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D7B"/>
    <w:rsid w:val="00535433"/>
    <w:rsid w:val="005409C5"/>
    <w:rsid w:val="00540A7C"/>
    <w:rsid w:val="00544292"/>
    <w:rsid w:val="005448AD"/>
    <w:rsid w:val="005456EC"/>
    <w:rsid w:val="00547154"/>
    <w:rsid w:val="00554795"/>
    <w:rsid w:val="00556DEA"/>
    <w:rsid w:val="00560465"/>
    <w:rsid w:val="0056070C"/>
    <w:rsid w:val="00560972"/>
    <w:rsid w:val="00562485"/>
    <w:rsid w:val="00563372"/>
    <w:rsid w:val="00563378"/>
    <w:rsid w:val="00563F7B"/>
    <w:rsid w:val="005640A6"/>
    <w:rsid w:val="00564A9A"/>
    <w:rsid w:val="0056664A"/>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36A3"/>
    <w:rsid w:val="00594141"/>
    <w:rsid w:val="00594A82"/>
    <w:rsid w:val="00594AC6"/>
    <w:rsid w:val="00594F99"/>
    <w:rsid w:val="0059679F"/>
    <w:rsid w:val="00596F19"/>
    <w:rsid w:val="005970B5"/>
    <w:rsid w:val="005978D0"/>
    <w:rsid w:val="005A0026"/>
    <w:rsid w:val="005A0899"/>
    <w:rsid w:val="005A0B86"/>
    <w:rsid w:val="005A2FC0"/>
    <w:rsid w:val="005A3880"/>
    <w:rsid w:val="005A66F6"/>
    <w:rsid w:val="005A7A14"/>
    <w:rsid w:val="005B341F"/>
    <w:rsid w:val="005B44D6"/>
    <w:rsid w:val="005B47AA"/>
    <w:rsid w:val="005B5651"/>
    <w:rsid w:val="005B613F"/>
    <w:rsid w:val="005B676C"/>
    <w:rsid w:val="005C0E7F"/>
    <w:rsid w:val="005C54A9"/>
    <w:rsid w:val="005D0BD1"/>
    <w:rsid w:val="005D16E1"/>
    <w:rsid w:val="005D27B8"/>
    <w:rsid w:val="005D2E03"/>
    <w:rsid w:val="005D3E03"/>
    <w:rsid w:val="005D4544"/>
    <w:rsid w:val="005D4F09"/>
    <w:rsid w:val="005D5178"/>
    <w:rsid w:val="005D6EA8"/>
    <w:rsid w:val="005D6F05"/>
    <w:rsid w:val="005E10E3"/>
    <w:rsid w:val="005E3FC7"/>
    <w:rsid w:val="005F32E7"/>
    <w:rsid w:val="005F51BE"/>
    <w:rsid w:val="005F54D7"/>
    <w:rsid w:val="005F698B"/>
    <w:rsid w:val="00600956"/>
    <w:rsid w:val="006011E1"/>
    <w:rsid w:val="00602401"/>
    <w:rsid w:val="00604158"/>
    <w:rsid w:val="0060499A"/>
    <w:rsid w:val="0060559A"/>
    <w:rsid w:val="0060666C"/>
    <w:rsid w:val="00606C5F"/>
    <w:rsid w:val="0061103F"/>
    <w:rsid w:val="00614CE6"/>
    <w:rsid w:val="006158F9"/>
    <w:rsid w:val="00615AED"/>
    <w:rsid w:val="00615CA5"/>
    <w:rsid w:val="00615D43"/>
    <w:rsid w:val="00616BCC"/>
    <w:rsid w:val="0061761A"/>
    <w:rsid w:val="00622448"/>
    <w:rsid w:val="00623DFF"/>
    <w:rsid w:val="00624299"/>
    <w:rsid w:val="006243EB"/>
    <w:rsid w:val="00625536"/>
    <w:rsid w:val="00625AC1"/>
    <w:rsid w:val="00626698"/>
    <w:rsid w:val="006267F8"/>
    <w:rsid w:val="00630966"/>
    <w:rsid w:val="00630C26"/>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6034A"/>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1B09"/>
    <w:rsid w:val="006A2A2C"/>
    <w:rsid w:val="006A2D92"/>
    <w:rsid w:val="006A56C1"/>
    <w:rsid w:val="006A5A2E"/>
    <w:rsid w:val="006B04D1"/>
    <w:rsid w:val="006B131C"/>
    <w:rsid w:val="006B3C41"/>
    <w:rsid w:val="006B4257"/>
    <w:rsid w:val="006B4B0D"/>
    <w:rsid w:val="006B4E05"/>
    <w:rsid w:val="006B70AF"/>
    <w:rsid w:val="006C0521"/>
    <w:rsid w:val="006C17EA"/>
    <w:rsid w:val="006C5CE3"/>
    <w:rsid w:val="006C6483"/>
    <w:rsid w:val="006C7426"/>
    <w:rsid w:val="006D1474"/>
    <w:rsid w:val="006D1F7D"/>
    <w:rsid w:val="006D29CD"/>
    <w:rsid w:val="006D2BE3"/>
    <w:rsid w:val="006D2BEB"/>
    <w:rsid w:val="006D2BF3"/>
    <w:rsid w:val="006D37CF"/>
    <w:rsid w:val="006D3DCE"/>
    <w:rsid w:val="006E11EC"/>
    <w:rsid w:val="006E17B6"/>
    <w:rsid w:val="006E1919"/>
    <w:rsid w:val="006E58A2"/>
    <w:rsid w:val="006E7242"/>
    <w:rsid w:val="006E7CFB"/>
    <w:rsid w:val="006F0945"/>
    <w:rsid w:val="006F3BB8"/>
    <w:rsid w:val="006F6CFD"/>
    <w:rsid w:val="0070149F"/>
    <w:rsid w:val="00703D2D"/>
    <w:rsid w:val="00706FE9"/>
    <w:rsid w:val="00710BF9"/>
    <w:rsid w:val="0071191B"/>
    <w:rsid w:val="00712914"/>
    <w:rsid w:val="0071360C"/>
    <w:rsid w:val="0071367B"/>
    <w:rsid w:val="007139B6"/>
    <w:rsid w:val="0071468E"/>
    <w:rsid w:val="007148AA"/>
    <w:rsid w:val="007163CA"/>
    <w:rsid w:val="0071686F"/>
    <w:rsid w:val="00716A12"/>
    <w:rsid w:val="00716D5C"/>
    <w:rsid w:val="00716E66"/>
    <w:rsid w:val="00717760"/>
    <w:rsid w:val="00717800"/>
    <w:rsid w:val="007208D9"/>
    <w:rsid w:val="00720AF5"/>
    <w:rsid w:val="00720C9D"/>
    <w:rsid w:val="00720FFE"/>
    <w:rsid w:val="00724C0F"/>
    <w:rsid w:val="00732185"/>
    <w:rsid w:val="0073258B"/>
    <w:rsid w:val="00732BA8"/>
    <w:rsid w:val="0073350E"/>
    <w:rsid w:val="00733F8C"/>
    <w:rsid w:val="00734E99"/>
    <w:rsid w:val="007359A7"/>
    <w:rsid w:val="00736976"/>
    <w:rsid w:val="00736A54"/>
    <w:rsid w:val="0074128D"/>
    <w:rsid w:val="00744ECC"/>
    <w:rsid w:val="0074677C"/>
    <w:rsid w:val="007467D1"/>
    <w:rsid w:val="00746E21"/>
    <w:rsid w:val="0074740B"/>
    <w:rsid w:val="00747E73"/>
    <w:rsid w:val="0075393B"/>
    <w:rsid w:val="0075471A"/>
    <w:rsid w:val="0075771C"/>
    <w:rsid w:val="007608D7"/>
    <w:rsid w:val="00760C0D"/>
    <w:rsid w:val="00761231"/>
    <w:rsid w:val="00763D76"/>
    <w:rsid w:val="00764FAA"/>
    <w:rsid w:val="00767A04"/>
    <w:rsid w:val="00773719"/>
    <w:rsid w:val="00773B58"/>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6A50"/>
    <w:rsid w:val="007A01E1"/>
    <w:rsid w:val="007A17DF"/>
    <w:rsid w:val="007A49C2"/>
    <w:rsid w:val="007A4BDD"/>
    <w:rsid w:val="007A4E4C"/>
    <w:rsid w:val="007B05B3"/>
    <w:rsid w:val="007B14CE"/>
    <w:rsid w:val="007B33D7"/>
    <w:rsid w:val="007B5AC7"/>
    <w:rsid w:val="007B6556"/>
    <w:rsid w:val="007B732A"/>
    <w:rsid w:val="007C08F8"/>
    <w:rsid w:val="007C10F1"/>
    <w:rsid w:val="007C1837"/>
    <w:rsid w:val="007C2377"/>
    <w:rsid w:val="007C293A"/>
    <w:rsid w:val="007D0844"/>
    <w:rsid w:val="007D0CC0"/>
    <w:rsid w:val="007D2908"/>
    <w:rsid w:val="007D537B"/>
    <w:rsid w:val="007D6F3F"/>
    <w:rsid w:val="007E1522"/>
    <w:rsid w:val="007E190E"/>
    <w:rsid w:val="007E1D58"/>
    <w:rsid w:val="007E5728"/>
    <w:rsid w:val="007E6CF8"/>
    <w:rsid w:val="007E6ECC"/>
    <w:rsid w:val="007E7285"/>
    <w:rsid w:val="007F0ABE"/>
    <w:rsid w:val="007F0ED9"/>
    <w:rsid w:val="007F1138"/>
    <w:rsid w:val="007F25A7"/>
    <w:rsid w:val="007F2645"/>
    <w:rsid w:val="007F26B5"/>
    <w:rsid w:val="007F435A"/>
    <w:rsid w:val="007F4668"/>
    <w:rsid w:val="007F571B"/>
    <w:rsid w:val="007F64C7"/>
    <w:rsid w:val="00802012"/>
    <w:rsid w:val="008031EC"/>
    <w:rsid w:val="008034D8"/>
    <w:rsid w:val="008054F0"/>
    <w:rsid w:val="00805BD3"/>
    <w:rsid w:val="00807DB6"/>
    <w:rsid w:val="00815425"/>
    <w:rsid w:val="008155E3"/>
    <w:rsid w:val="008167EC"/>
    <w:rsid w:val="00817427"/>
    <w:rsid w:val="00817638"/>
    <w:rsid w:val="00822132"/>
    <w:rsid w:val="008228A5"/>
    <w:rsid w:val="00822B3C"/>
    <w:rsid w:val="00826F71"/>
    <w:rsid w:val="00830ED9"/>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2B"/>
    <w:rsid w:val="00883C78"/>
    <w:rsid w:val="0088761A"/>
    <w:rsid w:val="00890A9E"/>
    <w:rsid w:val="00892576"/>
    <w:rsid w:val="00894601"/>
    <w:rsid w:val="00894CD3"/>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26F4"/>
    <w:rsid w:val="008C3539"/>
    <w:rsid w:val="008C4888"/>
    <w:rsid w:val="008C624A"/>
    <w:rsid w:val="008D1DB1"/>
    <w:rsid w:val="008D1DF0"/>
    <w:rsid w:val="008D3892"/>
    <w:rsid w:val="008D39AA"/>
    <w:rsid w:val="008D5118"/>
    <w:rsid w:val="008D55F9"/>
    <w:rsid w:val="008D6A9C"/>
    <w:rsid w:val="008E0D56"/>
    <w:rsid w:val="008E2B2F"/>
    <w:rsid w:val="008E348C"/>
    <w:rsid w:val="008E4DFF"/>
    <w:rsid w:val="008E549E"/>
    <w:rsid w:val="008E54D0"/>
    <w:rsid w:val="008E5E23"/>
    <w:rsid w:val="008E63A7"/>
    <w:rsid w:val="008E67C0"/>
    <w:rsid w:val="008E7E39"/>
    <w:rsid w:val="008E7F9F"/>
    <w:rsid w:val="008F09FE"/>
    <w:rsid w:val="008F1046"/>
    <w:rsid w:val="008F18B3"/>
    <w:rsid w:val="008F1E40"/>
    <w:rsid w:val="008F281A"/>
    <w:rsid w:val="008F2DC7"/>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8F0"/>
    <w:rsid w:val="0093251D"/>
    <w:rsid w:val="00932CDB"/>
    <w:rsid w:val="00933288"/>
    <w:rsid w:val="00935F44"/>
    <w:rsid w:val="00936C94"/>
    <w:rsid w:val="00937CD8"/>
    <w:rsid w:val="00937DFB"/>
    <w:rsid w:val="00940A80"/>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570D"/>
    <w:rsid w:val="009769C6"/>
    <w:rsid w:val="00977F47"/>
    <w:rsid w:val="00980FD2"/>
    <w:rsid w:val="009837EF"/>
    <w:rsid w:val="00984BDC"/>
    <w:rsid w:val="009857E0"/>
    <w:rsid w:val="00987A1D"/>
    <w:rsid w:val="009918FB"/>
    <w:rsid w:val="00991CE2"/>
    <w:rsid w:val="009A0497"/>
    <w:rsid w:val="009A1142"/>
    <w:rsid w:val="009A1A9A"/>
    <w:rsid w:val="009A2D21"/>
    <w:rsid w:val="009B157C"/>
    <w:rsid w:val="009B2293"/>
    <w:rsid w:val="009B25BD"/>
    <w:rsid w:val="009B36BF"/>
    <w:rsid w:val="009B417E"/>
    <w:rsid w:val="009B5872"/>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5D8C"/>
    <w:rsid w:val="009E6430"/>
    <w:rsid w:val="009E64A4"/>
    <w:rsid w:val="009E720C"/>
    <w:rsid w:val="009E771F"/>
    <w:rsid w:val="009F2008"/>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212FC"/>
    <w:rsid w:val="00A21C3A"/>
    <w:rsid w:val="00A22274"/>
    <w:rsid w:val="00A223AF"/>
    <w:rsid w:val="00A2267C"/>
    <w:rsid w:val="00A23419"/>
    <w:rsid w:val="00A32266"/>
    <w:rsid w:val="00A32793"/>
    <w:rsid w:val="00A376D1"/>
    <w:rsid w:val="00A412A4"/>
    <w:rsid w:val="00A44E29"/>
    <w:rsid w:val="00A45752"/>
    <w:rsid w:val="00A46BA8"/>
    <w:rsid w:val="00A512E8"/>
    <w:rsid w:val="00A54607"/>
    <w:rsid w:val="00A5615B"/>
    <w:rsid w:val="00A566F7"/>
    <w:rsid w:val="00A60788"/>
    <w:rsid w:val="00A624D4"/>
    <w:rsid w:val="00A63795"/>
    <w:rsid w:val="00A63817"/>
    <w:rsid w:val="00A64DFC"/>
    <w:rsid w:val="00A64E67"/>
    <w:rsid w:val="00A65708"/>
    <w:rsid w:val="00A74FE2"/>
    <w:rsid w:val="00A75DA0"/>
    <w:rsid w:val="00A75DAF"/>
    <w:rsid w:val="00A76ACC"/>
    <w:rsid w:val="00A80316"/>
    <w:rsid w:val="00A80DCD"/>
    <w:rsid w:val="00A827A8"/>
    <w:rsid w:val="00A8360B"/>
    <w:rsid w:val="00A857D9"/>
    <w:rsid w:val="00A90857"/>
    <w:rsid w:val="00A90A64"/>
    <w:rsid w:val="00A91448"/>
    <w:rsid w:val="00A92245"/>
    <w:rsid w:val="00A93A78"/>
    <w:rsid w:val="00A94548"/>
    <w:rsid w:val="00AA0CF2"/>
    <w:rsid w:val="00AA25A1"/>
    <w:rsid w:val="00AA2B6A"/>
    <w:rsid w:val="00AA3306"/>
    <w:rsid w:val="00AA4B70"/>
    <w:rsid w:val="00AA7756"/>
    <w:rsid w:val="00AB0EC8"/>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E6277"/>
    <w:rsid w:val="00AF0388"/>
    <w:rsid w:val="00AF05EF"/>
    <w:rsid w:val="00AF0863"/>
    <w:rsid w:val="00AF29BB"/>
    <w:rsid w:val="00AF2B88"/>
    <w:rsid w:val="00AF5F2E"/>
    <w:rsid w:val="00AF63A9"/>
    <w:rsid w:val="00AF65C3"/>
    <w:rsid w:val="00AF739D"/>
    <w:rsid w:val="00B00194"/>
    <w:rsid w:val="00B006A9"/>
    <w:rsid w:val="00B00A80"/>
    <w:rsid w:val="00B01ECE"/>
    <w:rsid w:val="00B06148"/>
    <w:rsid w:val="00B068F2"/>
    <w:rsid w:val="00B10278"/>
    <w:rsid w:val="00B12922"/>
    <w:rsid w:val="00B13310"/>
    <w:rsid w:val="00B154EA"/>
    <w:rsid w:val="00B16720"/>
    <w:rsid w:val="00B16AC8"/>
    <w:rsid w:val="00B17990"/>
    <w:rsid w:val="00B20969"/>
    <w:rsid w:val="00B2109F"/>
    <w:rsid w:val="00B21702"/>
    <w:rsid w:val="00B22390"/>
    <w:rsid w:val="00B2258D"/>
    <w:rsid w:val="00B225B0"/>
    <w:rsid w:val="00B241A7"/>
    <w:rsid w:val="00B306E7"/>
    <w:rsid w:val="00B318B0"/>
    <w:rsid w:val="00B31E83"/>
    <w:rsid w:val="00B3230A"/>
    <w:rsid w:val="00B325B0"/>
    <w:rsid w:val="00B328FC"/>
    <w:rsid w:val="00B3411C"/>
    <w:rsid w:val="00B4136C"/>
    <w:rsid w:val="00B4271C"/>
    <w:rsid w:val="00B42A04"/>
    <w:rsid w:val="00B43453"/>
    <w:rsid w:val="00B450F8"/>
    <w:rsid w:val="00B45421"/>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B44"/>
    <w:rsid w:val="00B83D1F"/>
    <w:rsid w:val="00B84190"/>
    <w:rsid w:val="00B9057D"/>
    <w:rsid w:val="00B91546"/>
    <w:rsid w:val="00B919DC"/>
    <w:rsid w:val="00B91D3B"/>
    <w:rsid w:val="00B93466"/>
    <w:rsid w:val="00B93D1A"/>
    <w:rsid w:val="00B94293"/>
    <w:rsid w:val="00B94B1E"/>
    <w:rsid w:val="00B9718C"/>
    <w:rsid w:val="00BA1691"/>
    <w:rsid w:val="00BA2000"/>
    <w:rsid w:val="00BA2B44"/>
    <w:rsid w:val="00BA326C"/>
    <w:rsid w:val="00BA4224"/>
    <w:rsid w:val="00BB1709"/>
    <w:rsid w:val="00BB249D"/>
    <w:rsid w:val="00BB76DF"/>
    <w:rsid w:val="00BC1511"/>
    <w:rsid w:val="00BC17BE"/>
    <w:rsid w:val="00BC2FCC"/>
    <w:rsid w:val="00BC468A"/>
    <w:rsid w:val="00BC6D7D"/>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B96"/>
    <w:rsid w:val="00C03042"/>
    <w:rsid w:val="00C0349A"/>
    <w:rsid w:val="00C04A7D"/>
    <w:rsid w:val="00C05B46"/>
    <w:rsid w:val="00C06197"/>
    <w:rsid w:val="00C06A01"/>
    <w:rsid w:val="00C079DC"/>
    <w:rsid w:val="00C120C0"/>
    <w:rsid w:val="00C13270"/>
    <w:rsid w:val="00C133FC"/>
    <w:rsid w:val="00C13EF0"/>
    <w:rsid w:val="00C14AF4"/>
    <w:rsid w:val="00C15A21"/>
    <w:rsid w:val="00C173DC"/>
    <w:rsid w:val="00C17AAA"/>
    <w:rsid w:val="00C202C8"/>
    <w:rsid w:val="00C22EBB"/>
    <w:rsid w:val="00C2545A"/>
    <w:rsid w:val="00C26BA5"/>
    <w:rsid w:val="00C30AB4"/>
    <w:rsid w:val="00C31830"/>
    <w:rsid w:val="00C31CC0"/>
    <w:rsid w:val="00C3203A"/>
    <w:rsid w:val="00C33045"/>
    <w:rsid w:val="00C364F8"/>
    <w:rsid w:val="00C3732E"/>
    <w:rsid w:val="00C41A41"/>
    <w:rsid w:val="00C4306B"/>
    <w:rsid w:val="00C45162"/>
    <w:rsid w:val="00C46EA7"/>
    <w:rsid w:val="00C509D3"/>
    <w:rsid w:val="00C522A9"/>
    <w:rsid w:val="00C60191"/>
    <w:rsid w:val="00C60BBD"/>
    <w:rsid w:val="00C63CA5"/>
    <w:rsid w:val="00C67CDD"/>
    <w:rsid w:val="00C734E1"/>
    <w:rsid w:val="00C74661"/>
    <w:rsid w:val="00C746AE"/>
    <w:rsid w:val="00C75C12"/>
    <w:rsid w:val="00C84F64"/>
    <w:rsid w:val="00C850F4"/>
    <w:rsid w:val="00C85510"/>
    <w:rsid w:val="00C8797D"/>
    <w:rsid w:val="00C902D7"/>
    <w:rsid w:val="00C94463"/>
    <w:rsid w:val="00C94CD6"/>
    <w:rsid w:val="00C96388"/>
    <w:rsid w:val="00C9661C"/>
    <w:rsid w:val="00C971CD"/>
    <w:rsid w:val="00CA10EB"/>
    <w:rsid w:val="00CA31D5"/>
    <w:rsid w:val="00CA40EE"/>
    <w:rsid w:val="00CA5B78"/>
    <w:rsid w:val="00CA6695"/>
    <w:rsid w:val="00CA70B9"/>
    <w:rsid w:val="00CB4A3A"/>
    <w:rsid w:val="00CB511B"/>
    <w:rsid w:val="00CB5722"/>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2024"/>
    <w:rsid w:val="00CF2ADA"/>
    <w:rsid w:val="00CF3FBF"/>
    <w:rsid w:val="00CF4AD8"/>
    <w:rsid w:val="00CF553A"/>
    <w:rsid w:val="00CF61B6"/>
    <w:rsid w:val="00CF671F"/>
    <w:rsid w:val="00CF7C5F"/>
    <w:rsid w:val="00D00503"/>
    <w:rsid w:val="00D00846"/>
    <w:rsid w:val="00D01950"/>
    <w:rsid w:val="00D02C89"/>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4154"/>
    <w:rsid w:val="00D65A18"/>
    <w:rsid w:val="00D675F9"/>
    <w:rsid w:val="00D6772B"/>
    <w:rsid w:val="00D71F7D"/>
    <w:rsid w:val="00D71F97"/>
    <w:rsid w:val="00D7239D"/>
    <w:rsid w:val="00D73421"/>
    <w:rsid w:val="00D7450E"/>
    <w:rsid w:val="00D7478D"/>
    <w:rsid w:val="00D74A41"/>
    <w:rsid w:val="00D768BD"/>
    <w:rsid w:val="00D76907"/>
    <w:rsid w:val="00D81644"/>
    <w:rsid w:val="00D85D6C"/>
    <w:rsid w:val="00D8754E"/>
    <w:rsid w:val="00D93449"/>
    <w:rsid w:val="00D93C9C"/>
    <w:rsid w:val="00D9441D"/>
    <w:rsid w:val="00D95AEB"/>
    <w:rsid w:val="00D95D23"/>
    <w:rsid w:val="00D95F22"/>
    <w:rsid w:val="00DA04ED"/>
    <w:rsid w:val="00DA166D"/>
    <w:rsid w:val="00DA35CD"/>
    <w:rsid w:val="00DA664C"/>
    <w:rsid w:val="00DA791C"/>
    <w:rsid w:val="00DB17A2"/>
    <w:rsid w:val="00DB1D74"/>
    <w:rsid w:val="00DB25E4"/>
    <w:rsid w:val="00DB3596"/>
    <w:rsid w:val="00DB36C2"/>
    <w:rsid w:val="00DB45EC"/>
    <w:rsid w:val="00DB4917"/>
    <w:rsid w:val="00DB5F07"/>
    <w:rsid w:val="00DB6524"/>
    <w:rsid w:val="00DB6D0F"/>
    <w:rsid w:val="00DC14F0"/>
    <w:rsid w:val="00DC1945"/>
    <w:rsid w:val="00DC3DE0"/>
    <w:rsid w:val="00DC4D19"/>
    <w:rsid w:val="00DC5D87"/>
    <w:rsid w:val="00DC68C9"/>
    <w:rsid w:val="00DD1B1B"/>
    <w:rsid w:val="00DD32DC"/>
    <w:rsid w:val="00DD5F52"/>
    <w:rsid w:val="00DD617D"/>
    <w:rsid w:val="00DE04E0"/>
    <w:rsid w:val="00DE06E0"/>
    <w:rsid w:val="00DE39C4"/>
    <w:rsid w:val="00DE55FF"/>
    <w:rsid w:val="00DE5F6F"/>
    <w:rsid w:val="00DE79D3"/>
    <w:rsid w:val="00DE7F03"/>
    <w:rsid w:val="00DF281F"/>
    <w:rsid w:val="00DF2F4B"/>
    <w:rsid w:val="00DF71A3"/>
    <w:rsid w:val="00E00448"/>
    <w:rsid w:val="00E00B23"/>
    <w:rsid w:val="00E0117D"/>
    <w:rsid w:val="00E01CE8"/>
    <w:rsid w:val="00E0310F"/>
    <w:rsid w:val="00E03125"/>
    <w:rsid w:val="00E04357"/>
    <w:rsid w:val="00E04D95"/>
    <w:rsid w:val="00E06953"/>
    <w:rsid w:val="00E0769B"/>
    <w:rsid w:val="00E10B5C"/>
    <w:rsid w:val="00E11760"/>
    <w:rsid w:val="00E119E8"/>
    <w:rsid w:val="00E12973"/>
    <w:rsid w:val="00E139C5"/>
    <w:rsid w:val="00E141EC"/>
    <w:rsid w:val="00E14792"/>
    <w:rsid w:val="00E14DAE"/>
    <w:rsid w:val="00E155FA"/>
    <w:rsid w:val="00E16600"/>
    <w:rsid w:val="00E169CD"/>
    <w:rsid w:val="00E205A2"/>
    <w:rsid w:val="00E217A2"/>
    <w:rsid w:val="00E2280E"/>
    <w:rsid w:val="00E228DE"/>
    <w:rsid w:val="00E23208"/>
    <w:rsid w:val="00E24758"/>
    <w:rsid w:val="00E2763D"/>
    <w:rsid w:val="00E3374A"/>
    <w:rsid w:val="00E345DB"/>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8423B"/>
    <w:rsid w:val="00E90719"/>
    <w:rsid w:val="00E90731"/>
    <w:rsid w:val="00E93B66"/>
    <w:rsid w:val="00E950F1"/>
    <w:rsid w:val="00E95A84"/>
    <w:rsid w:val="00E9629B"/>
    <w:rsid w:val="00E96CB5"/>
    <w:rsid w:val="00E9789E"/>
    <w:rsid w:val="00E97BF4"/>
    <w:rsid w:val="00EA0B74"/>
    <w:rsid w:val="00EA2A88"/>
    <w:rsid w:val="00EA3E93"/>
    <w:rsid w:val="00EA78FF"/>
    <w:rsid w:val="00EB002B"/>
    <w:rsid w:val="00EB094A"/>
    <w:rsid w:val="00EB279B"/>
    <w:rsid w:val="00EB2CA5"/>
    <w:rsid w:val="00EB43FD"/>
    <w:rsid w:val="00EB44BE"/>
    <w:rsid w:val="00EB4682"/>
    <w:rsid w:val="00EB477D"/>
    <w:rsid w:val="00EB7FCF"/>
    <w:rsid w:val="00EC17A1"/>
    <w:rsid w:val="00EC28E5"/>
    <w:rsid w:val="00EC5183"/>
    <w:rsid w:val="00EC543F"/>
    <w:rsid w:val="00EC6350"/>
    <w:rsid w:val="00EC6B93"/>
    <w:rsid w:val="00EC741D"/>
    <w:rsid w:val="00EE0868"/>
    <w:rsid w:val="00EE1372"/>
    <w:rsid w:val="00EE1BFF"/>
    <w:rsid w:val="00EE1F4E"/>
    <w:rsid w:val="00EE585D"/>
    <w:rsid w:val="00EE58CB"/>
    <w:rsid w:val="00EE6E5D"/>
    <w:rsid w:val="00EF0B62"/>
    <w:rsid w:val="00EF1989"/>
    <w:rsid w:val="00EF3A40"/>
    <w:rsid w:val="00EF468B"/>
    <w:rsid w:val="00EF5429"/>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3291"/>
    <w:rsid w:val="00F25284"/>
    <w:rsid w:val="00F25A3D"/>
    <w:rsid w:val="00F26CA1"/>
    <w:rsid w:val="00F270C1"/>
    <w:rsid w:val="00F31416"/>
    <w:rsid w:val="00F33190"/>
    <w:rsid w:val="00F332A2"/>
    <w:rsid w:val="00F337B2"/>
    <w:rsid w:val="00F33D36"/>
    <w:rsid w:val="00F4080E"/>
    <w:rsid w:val="00F45799"/>
    <w:rsid w:val="00F46C39"/>
    <w:rsid w:val="00F4755A"/>
    <w:rsid w:val="00F547A2"/>
    <w:rsid w:val="00F555C6"/>
    <w:rsid w:val="00F60CC6"/>
    <w:rsid w:val="00F622E8"/>
    <w:rsid w:val="00F63895"/>
    <w:rsid w:val="00F63F4E"/>
    <w:rsid w:val="00F64822"/>
    <w:rsid w:val="00F65CB3"/>
    <w:rsid w:val="00F66B4C"/>
    <w:rsid w:val="00F6759D"/>
    <w:rsid w:val="00F707E3"/>
    <w:rsid w:val="00F70A77"/>
    <w:rsid w:val="00F71CD0"/>
    <w:rsid w:val="00F71FC5"/>
    <w:rsid w:val="00F72B7C"/>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509B"/>
    <w:rsid w:val="00FA63FD"/>
    <w:rsid w:val="00FB0A41"/>
    <w:rsid w:val="00FB0F81"/>
    <w:rsid w:val="00FB17F6"/>
    <w:rsid w:val="00FB3263"/>
    <w:rsid w:val="00FB5BC7"/>
    <w:rsid w:val="00FB5CFE"/>
    <w:rsid w:val="00FB6ED3"/>
    <w:rsid w:val="00FB79D5"/>
    <w:rsid w:val="00FC059D"/>
    <w:rsid w:val="00FC07D5"/>
    <w:rsid w:val="00FC0D50"/>
    <w:rsid w:val="00FC22E7"/>
    <w:rsid w:val="00FC3832"/>
    <w:rsid w:val="00FC4514"/>
    <w:rsid w:val="00FC4754"/>
    <w:rsid w:val="00FC6BFA"/>
    <w:rsid w:val="00FD0D5F"/>
    <w:rsid w:val="00FD1F2A"/>
    <w:rsid w:val="00FD4195"/>
    <w:rsid w:val="00FD5FBF"/>
    <w:rsid w:val="00FE41CB"/>
    <w:rsid w:val="00FE574F"/>
    <w:rsid w:val="00FE610F"/>
    <w:rsid w:val="00FF029E"/>
    <w:rsid w:val="00FF0918"/>
    <w:rsid w:val="00FF0A78"/>
    <w:rsid w:val="00FF0F21"/>
    <w:rsid w:val="00FF160F"/>
    <w:rsid w:val="00FF2332"/>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1EAD0958-E659-44BB-B34A-E9BB8294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rsid w:val="00490FF7"/>
    <w:rPr>
      <w:rFonts w:eastAsia="SimSun"/>
      <w:sz w:val="16"/>
      <w:lang w:eastAsia="zh-CN"/>
    </w:rPr>
  </w:style>
  <w:style w:type="character" w:customStyle="1" w:styleId="FootnoteTextChar">
    <w:name w:val="Footnote Text Char"/>
    <w:basedOn w:val="DefaultParagraphFont"/>
    <w:link w:val="FootnoteText"/>
    <w:uiPriority w:val="99"/>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CV text"/>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HTMLPreformatted">
    <w:name w:val="HTML Preformatted"/>
    <w:basedOn w:val="Normal"/>
    <w:link w:val="HTMLPreformattedChar"/>
    <w:uiPriority w:val="99"/>
    <w:semiHidden/>
    <w:unhideWhenUsed/>
    <w:rsid w:val="00E01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E01CE8"/>
    <w:rPr>
      <w:rFonts w:ascii="Courier New" w:hAnsi="Courier New" w:cs="Courier New"/>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12932282">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395132491">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67542633">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18446548">
      <w:bodyDiv w:val="1"/>
      <w:marLeft w:val="0"/>
      <w:marRight w:val="0"/>
      <w:marTop w:val="0"/>
      <w:marBottom w:val="0"/>
      <w:divBdr>
        <w:top w:val="none" w:sz="0" w:space="0" w:color="auto"/>
        <w:left w:val="none" w:sz="0" w:space="0" w:color="auto"/>
        <w:bottom w:val="none" w:sz="0" w:space="0" w:color="auto"/>
        <w:right w:val="none" w:sz="0" w:space="0" w:color="auto"/>
      </w:divBdr>
    </w:div>
    <w:div w:id="1139230999">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45949928">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70525225">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a.delibashi@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jashari@fint.gov.al" TargetMode="External"/><Relationship Id="rId4" Type="http://schemas.openxmlformats.org/officeDocument/2006/relationships/settings" Target="settings.xml"/><Relationship Id="rId9" Type="http://schemas.openxmlformats.org/officeDocument/2006/relationships/hyperlink" Target="mailto:Ilda.koja@tatime.gov.a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6DDBB321FA75409DA38DDE9CB0FD1E41"/>
        <w:category>
          <w:name w:val="General"/>
          <w:gallery w:val="placeholder"/>
        </w:category>
        <w:types>
          <w:type w:val="bbPlcHdr"/>
        </w:types>
        <w:behaviors>
          <w:behavior w:val="content"/>
        </w:behaviors>
        <w:guid w:val="{B1887427-48CB-457A-BE50-FB55EC6849FD}"/>
      </w:docPartPr>
      <w:docPartBody>
        <w:p w:rsidR="006F1ED4" w:rsidRDefault="006F1ED4" w:rsidP="006F1ED4">
          <w:pPr>
            <w:pStyle w:val="6DDBB321FA75409DA38DDE9CB0FD1E41"/>
          </w:pPr>
          <w:r w:rsidRPr="00CC5954">
            <w:rPr>
              <w:rStyle w:val="PlaceholderText"/>
            </w:rPr>
            <w:t>Click here to enter text.</w:t>
          </w:r>
        </w:p>
      </w:docPartBody>
    </w:docPart>
    <w:docPart>
      <w:docPartPr>
        <w:name w:val="867EF0DB10CB4A10BB29112D1FCD9786"/>
        <w:category>
          <w:name w:val="General"/>
          <w:gallery w:val="placeholder"/>
        </w:category>
        <w:types>
          <w:type w:val="bbPlcHdr"/>
        </w:types>
        <w:behaviors>
          <w:behavior w:val="content"/>
        </w:behaviors>
        <w:guid w:val="{ED142FE1-2935-4C00-8D06-E409A82D67C7}"/>
      </w:docPartPr>
      <w:docPartBody>
        <w:p w:rsidR="006F1ED4" w:rsidRDefault="006F1ED4" w:rsidP="006F1ED4">
          <w:pPr>
            <w:pStyle w:val="867EF0DB10CB4A10BB29112D1FCD9786"/>
          </w:pPr>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pPr>
            <w:pStyle w:val="C8F0C73A25AD4069881E7BB32D9AC3FF"/>
          </w:pPr>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pPr>
            <w:pStyle w:val="346DADE0E4B948EEB018BC06B86F97D7"/>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4790E05907184BE9BEDA3D19C40E9417"/>
        <w:category>
          <w:name w:val="General"/>
          <w:gallery w:val="placeholder"/>
        </w:category>
        <w:types>
          <w:type w:val="bbPlcHdr"/>
        </w:types>
        <w:behaviors>
          <w:behavior w:val="content"/>
        </w:behaviors>
        <w:guid w:val="{D144A7F2-0A41-43F9-BA3C-885C7801D8C2}"/>
      </w:docPartPr>
      <w:docPartBody>
        <w:p w:rsidR="00522E90" w:rsidRDefault="006239C9" w:rsidP="006239C9">
          <w:pPr>
            <w:pStyle w:val="4790E05907184BE9BEDA3D19C40E9417"/>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5"/>
    <w:rsid w:val="0003006C"/>
    <w:rsid w:val="000B4261"/>
    <w:rsid w:val="000F5B7B"/>
    <w:rsid w:val="001D7924"/>
    <w:rsid w:val="00241A8A"/>
    <w:rsid w:val="00242DA7"/>
    <w:rsid w:val="00265E85"/>
    <w:rsid w:val="0030614E"/>
    <w:rsid w:val="0036461E"/>
    <w:rsid w:val="004D751E"/>
    <w:rsid w:val="00522E90"/>
    <w:rsid w:val="0061104F"/>
    <w:rsid w:val="00613314"/>
    <w:rsid w:val="00616558"/>
    <w:rsid w:val="006239C9"/>
    <w:rsid w:val="006A5360"/>
    <w:rsid w:val="006F1ED4"/>
    <w:rsid w:val="007B4F71"/>
    <w:rsid w:val="00861778"/>
    <w:rsid w:val="00862925"/>
    <w:rsid w:val="008C2583"/>
    <w:rsid w:val="008E7E8D"/>
    <w:rsid w:val="008F4C22"/>
    <w:rsid w:val="00B520DD"/>
    <w:rsid w:val="00B91967"/>
    <w:rsid w:val="00CE713B"/>
    <w:rsid w:val="00D71EBA"/>
    <w:rsid w:val="00DA1BDD"/>
    <w:rsid w:val="00DC3C88"/>
    <w:rsid w:val="00F16AFC"/>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9C9"/>
    <w:rPr>
      <w:color w:val="808080"/>
    </w:rPr>
  </w:style>
  <w:style w:type="paragraph" w:customStyle="1" w:styleId="467F15D558F0444BB35BCB17F1E0E252">
    <w:name w:val="467F15D558F0444BB35BCB17F1E0E252"/>
    <w:rsid w:val="00862925"/>
  </w:style>
  <w:style w:type="paragraph" w:customStyle="1" w:styleId="2A7B5061D9734F9B9920E7F9F30874BF">
    <w:name w:val="2A7B5061D9734F9B9920E7F9F30874BF"/>
    <w:rsid w:val="00862925"/>
  </w:style>
  <w:style w:type="paragraph" w:customStyle="1" w:styleId="12D73499CE804819B3C8A0E3EE4B5831">
    <w:name w:val="12D73499CE804819B3C8A0E3EE4B5831"/>
    <w:rsid w:val="00862925"/>
  </w:style>
  <w:style w:type="paragraph" w:customStyle="1" w:styleId="B3333E954FD04E56BA74AB245AE6B7E3">
    <w:name w:val="B3333E954FD04E56BA74AB245AE6B7E3"/>
    <w:rsid w:val="00862925"/>
  </w:style>
  <w:style w:type="paragraph" w:customStyle="1" w:styleId="2D6358CB0C8044EE8398B66B3548E215">
    <w:name w:val="2D6358CB0C8044EE8398B66B3548E215"/>
    <w:rsid w:val="00862925"/>
  </w:style>
  <w:style w:type="paragraph" w:customStyle="1" w:styleId="CAFA2833E6FA49A3A335B5A363B8A036">
    <w:name w:val="CAFA2833E6FA49A3A335B5A363B8A036"/>
    <w:rsid w:val="00862925"/>
  </w:style>
  <w:style w:type="paragraph" w:customStyle="1" w:styleId="744FAD336A3C4E4784A0D1C630A7101D">
    <w:name w:val="744FAD336A3C4E4784A0D1C630A7101D"/>
    <w:rsid w:val="00862925"/>
  </w:style>
  <w:style w:type="paragraph" w:customStyle="1" w:styleId="D045FFCCB38E44B3B337251B772BF7B3">
    <w:name w:val="D045FFCCB38E44B3B337251B772BF7B3"/>
    <w:rsid w:val="00862925"/>
  </w:style>
  <w:style w:type="paragraph" w:customStyle="1" w:styleId="F60B42ECE24F4FB2A180B726E718FD45">
    <w:name w:val="F60B42ECE24F4FB2A180B726E718FD45"/>
    <w:rsid w:val="00862925"/>
  </w:style>
  <w:style w:type="paragraph" w:customStyle="1" w:styleId="92B0AA5D73EE407EB30812CE8AA4E3C2">
    <w:name w:val="92B0AA5D73EE407EB30812CE8AA4E3C2"/>
    <w:rsid w:val="00862925"/>
  </w:style>
  <w:style w:type="paragraph" w:customStyle="1" w:styleId="AA020EEBFB9B401781B3CCC9042C41E7">
    <w:name w:val="AA020EEBFB9B401781B3CCC9042C41E7"/>
    <w:rsid w:val="00862925"/>
  </w:style>
  <w:style w:type="paragraph" w:customStyle="1" w:styleId="6A7E2BFFF89D472CB075ACA501F69EE3">
    <w:name w:val="6A7E2BFFF89D472CB075ACA501F69EE3"/>
    <w:rsid w:val="00862925"/>
  </w:style>
  <w:style w:type="paragraph" w:customStyle="1" w:styleId="184215A29E084DFB929EA7763930C43D">
    <w:name w:val="184215A29E084DFB929EA7763930C43D"/>
    <w:rsid w:val="00862925"/>
  </w:style>
  <w:style w:type="paragraph" w:customStyle="1" w:styleId="8D751CC6D1C342D39FF87781E587F684">
    <w:name w:val="8D751CC6D1C342D39FF87781E587F684"/>
    <w:rsid w:val="00862925"/>
  </w:style>
  <w:style w:type="paragraph" w:customStyle="1" w:styleId="751FEA7566AC46F39FBF201CEB7F6AD6">
    <w:name w:val="751FEA7566AC46F39FBF201CEB7F6AD6"/>
    <w:rsid w:val="008C2583"/>
  </w:style>
  <w:style w:type="paragraph" w:customStyle="1" w:styleId="3FDB7B206FB14DFF8463B62360345173">
    <w:name w:val="3FDB7B206FB14DFF8463B62360345173"/>
    <w:rsid w:val="008C2583"/>
  </w:style>
  <w:style w:type="paragraph" w:customStyle="1" w:styleId="47FAC56B40DE456E970FAF1DC10F4C53">
    <w:name w:val="47FAC56B40DE456E970FAF1DC10F4C53"/>
    <w:rsid w:val="008C2583"/>
  </w:style>
  <w:style w:type="paragraph" w:customStyle="1" w:styleId="F1C3E94D3BF743BEAEE5FFDD50A62E94">
    <w:name w:val="F1C3E94D3BF743BEAEE5FFDD50A62E94"/>
    <w:rsid w:val="008C2583"/>
  </w:style>
  <w:style w:type="paragraph" w:customStyle="1" w:styleId="7194EE273C35436F99A6A439F785567C">
    <w:name w:val="7194EE273C35436F99A6A439F785567C"/>
    <w:rsid w:val="008C2583"/>
  </w:style>
  <w:style w:type="paragraph" w:customStyle="1" w:styleId="84E9C7A8F3674398A1DBB858383D3F1D">
    <w:name w:val="84E9C7A8F3674398A1DBB858383D3F1D"/>
    <w:rsid w:val="008C2583"/>
  </w:style>
  <w:style w:type="paragraph" w:customStyle="1" w:styleId="EED63F8415314A1ABE4761C0FF4BA33C">
    <w:name w:val="EED63F8415314A1ABE4761C0FF4BA33C"/>
    <w:rsid w:val="008C2583"/>
  </w:style>
  <w:style w:type="paragraph" w:customStyle="1" w:styleId="A832CC51CF534A7A97B192F06BE6911B">
    <w:name w:val="A832CC51CF534A7A97B192F06BE6911B"/>
    <w:rsid w:val="00D71EBA"/>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A6674A12251248E88B7160122A78C515">
    <w:name w:val="A6674A12251248E88B7160122A78C515"/>
    <w:rsid w:val="006F1ED4"/>
  </w:style>
  <w:style w:type="paragraph" w:customStyle="1" w:styleId="61AF1E6A7DD04E5DB2E986ACEC7F590C">
    <w:name w:val="61AF1E6A7DD04E5DB2E986ACEC7F590C"/>
    <w:rsid w:val="006F1ED4"/>
  </w:style>
  <w:style w:type="paragraph" w:customStyle="1" w:styleId="3700E91A27C24589A96EE3D6E4741DA7">
    <w:name w:val="3700E91A27C24589A96EE3D6E4741DA7"/>
    <w:rsid w:val="006F1ED4"/>
  </w:style>
  <w:style w:type="paragraph" w:customStyle="1" w:styleId="21F121A5A87247F08AAB82C8E36DAFEB">
    <w:name w:val="21F121A5A87247F08AAB82C8E36DAFEB"/>
    <w:rsid w:val="006F1ED4"/>
  </w:style>
  <w:style w:type="paragraph" w:customStyle="1" w:styleId="7D4BF66875D84F409BE5ED571A99CDF4">
    <w:name w:val="7D4BF66875D84F409BE5ED571A99CDF4"/>
    <w:rsid w:val="006F1ED4"/>
  </w:style>
  <w:style w:type="paragraph" w:customStyle="1" w:styleId="474B859D396E4072A8DBDAAD8912CD7B">
    <w:name w:val="474B859D396E4072A8DBDAAD8912CD7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
    <w:name w:val="902FE64B29424F659DBB099D6CE88D80"/>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1">
    <w:name w:val="902FE64B29424F659DBB099D6CE88D80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2">
    <w:name w:val="902FE64B29424F659DBB099D6CE88D80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3">
    <w:name w:val="902FE64B29424F659DBB099D6CE88D80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
    <w:name w:val="E443E12996174F81B05AA4FD0B32EB1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4">
    <w:name w:val="902FE64B29424F659DBB099D6CE88D80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1">
    <w:name w:val="E443E12996174F81B05AA4FD0B32EB14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
    <w:name w:val="FD861CBE38474042B6487F314DCD3331"/>
    <w:rsid w:val="006F1ED4"/>
  </w:style>
  <w:style w:type="paragraph" w:customStyle="1" w:styleId="1AD1A34C84384DA5B2C88EB652FCD115">
    <w:name w:val="1AD1A34C84384DA5B2C88EB652FCD115"/>
    <w:rsid w:val="006F1ED4"/>
  </w:style>
  <w:style w:type="paragraph" w:customStyle="1" w:styleId="FD861CBE38474042B6487F314DCD33311">
    <w:name w:val="FD861CBE38474042B6487F314DCD3331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5">
    <w:name w:val="902FE64B29424F659DBB099D6CE88D805"/>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1">
    <w:name w:val="1AD1A34C84384DA5B2C88EB652FCD115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2">
    <w:name w:val="FD861CBE38474042B6487F314DCD3331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6">
    <w:name w:val="902FE64B29424F659DBB099D6CE88D806"/>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2">
    <w:name w:val="1AD1A34C84384DA5B2C88EB652FCD115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7">
    <w:name w:val="902FE64B29424F659DBB099D6CE88D807"/>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3">
    <w:name w:val="1AD1A34C84384DA5B2C88EB652FCD115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8">
    <w:name w:val="902FE64B29424F659DBB099D6CE88D808"/>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4">
    <w:name w:val="1AD1A34C84384DA5B2C88EB652FCD115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9B0ACAF59AF04FBC98C0CE976EF06E8D">
    <w:name w:val="9B0ACAF59AF04FBC98C0CE976EF06E8D"/>
    <w:rsid w:val="0036461E"/>
  </w:style>
  <w:style w:type="paragraph" w:customStyle="1" w:styleId="4790E05907184BE9BEDA3D19C40E9417">
    <w:name w:val="4790E05907184BE9BEDA3D19C40E9417"/>
    <w:rsid w:val="00623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3918-EDAD-44DC-ADEE-C453CC44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4331</Words>
  <Characters>24690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28964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dc:creator>
  <cp:lastModifiedBy>Amela Kora</cp:lastModifiedBy>
  <cp:revision>2</cp:revision>
  <cp:lastPrinted>2019-12-29T15:36:00Z</cp:lastPrinted>
  <dcterms:created xsi:type="dcterms:W3CDTF">2020-09-14T12:48:00Z</dcterms:created>
  <dcterms:modified xsi:type="dcterms:W3CDTF">2020-09-14T12:48:00Z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